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2AAC6" w14:textId="50084361" w:rsidR="007E627D" w:rsidRPr="00CB5B8E" w:rsidRDefault="009D6F44" w:rsidP="009D6F44">
      <w:pPr>
        <w:spacing w:before="100" w:beforeAutospacing="1" w:after="100" w:afterAutospacing="1" w:line="240" w:lineRule="auto"/>
        <w:jc w:val="center"/>
        <w:outlineLvl w:val="2"/>
        <w:rPr>
          <w:rFonts w:ascii="Avenir Next LT Pro" w:eastAsia="Times New Roman" w:hAnsi="Avenir Next LT Pro" w:cs="Arial"/>
          <w:b/>
          <w:lang w:eastAsia="pl-PL"/>
        </w:rPr>
      </w:pPr>
      <w:r w:rsidRPr="00CB5B8E">
        <w:rPr>
          <w:rFonts w:ascii="Avenir Next LT Pro" w:eastAsia="Times New Roman" w:hAnsi="Avenir Next LT Pro" w:cs="Arial"/>
          <w:b/>
          <w:lang w:eastAsia="pl-PL"/>
        </w:rPr>
        <w:t xml:space="preserve">KALKULACJA CENY OFERTY  </w:t>
      </w:r>
    </w:p>
    <w:p w14:paraId="793D37AF" w14:textId="73EA28F1" w:rsidR="009D6F44" w:rsidRPr="00CB5B8E" w:rsidRDefault="009D6F44" w:rsidP="009D6F44">
      <w:pPr>
        <w:jc w:val="center"/>
        <w:rPr>
          <w:rFonts w:ascii="Avenir Next LT Pro" w:eastAsia="Times New Roman" w:hAnsi="Avenir Next LT Pro" w:cs="Tahoma"/>
          <w:b/>
          <w:lang w:eastAsia="pl-PL"/>
        </w:rPr>
      </w:pPr>
      <w:r w:rsidRPr="00CB5B8E">
        <w:rPr>
          <w:rFonts w:ascii="Avenir Next LT Pro" w:eastAsia="Times New Roman" w:hAnsi="Avenir Next LT Pro" w:cs="Tahoma"/>
          <w:lang w:eastAsia="pl-PL"/>
        </w:rPr>
        <w:t>składan</w:t>
      </w:r>
      <w:r w:rsidRPr="00CB5B8E">
        <w:rPr>
          <w:rFonts w:ascii="Avenir Next LT Pro" w:eastAsia="Times New Roman" w:hAnsi="Avenir Next LT Pro" w:cs="Tahoma"/>
          <w:lang w:eastAsia="pl-PL"/>
        </w:rPr>
        <w:t>a</w:t>
      </w:r>
      <w:r w:rsidRPr="00CB5B8E">
        <w:rPr>
          <w:rFonts w:ascii="Avenir Next LT Pro" w:eastAsia="Times New Roman" w:hAnsi="Avenir Next LT Pro" w:cs="Tahoma"/>
          <w:lang w:eastAsia="pl-PL"/>
        </w:rPr>
        <w:t xml:space="preserve"> wraz z ofertą na </w:t>
      </w:r>
      <w:bookmarkStart w:id="0" w:name="_Hlk133314226"/>
      <w:r w:rsidRPr="00CB5B8E">
        <w:rPr>
          <w:rFonts w:ascii="Avenir Next LT Pro" w:hAnsi="Avenir Next LT Pro"/>
        </w:rPr>
        <w:t xml:space="preserve">wykonanie </w:t>
      </w:r>
      <w:bookmarkEnd w:id="0"/>
      <w:r w:rsidRPr="00CB5B8E">
        <w:rPr>
          <w:rFonts w:ascii="Avenir Next LT Pro" w:hAnsi="Avenir Next LT Pro"/>
        </w:rPr>
        <w:t xml:space="preserve">nowoczesnej strony internetowej </w:t>
      </w:r>
      <w:r w:rsidRPr="00CB5B8E">
        <w:rPr>
          <w:rFonts w:ascii="Avenir Next LT Pro" w:hAnsi="Avenir Next LT Pro"/>
        </w:rPr>
        <w:br/>
        <w:t>Muzeum Zamoyskich w Kozłówce</w:t>
      </w:r>
      <w:r w:rsidRPr="00CB5B8E">
        <w:rPr>
          <w:rFonts w:ascii="Avenir Next LT Pro" w:eastAsia="Times New Roman" w:hAnsi="Avenir Next LT Pro" w:cs="Tahoma"/>
          <w:bCs/>
          <w:lang w:eastAsia="pl-PL"/>
        </w:rPr>
        <w:t>,</w:t>
      </w:r>
      <w:r w:rsidRPr="00CB5B8E">
        <w:rPr>
          <w:rFonts w:ascii="Avenir Next LT Pro" w:eastAsia="Times New Roman" w:hAnsi="Avenir Next LT Pro" w:cs="Tahoma"/>
          <w:b/>
          <w:lang w:eastAsia="pl-PL"/>
        </w:rPr>
        <w:t xml:space="preserve"> </w:t>
      </w:r>
    </w:p>
    <w:p w14:paraId="3C8E2797" w14:textId="77777777" w:rsidR="009D6F44" w:rsidRPr="00CB5B8E" w:rsidRDefault="009D6F44" w:rsidP="009D6F44">
      <w:pPr>
        <w:jc w:val="center"/>
        <w:rPr>
          <w:rFonts w:ascii="Avenir Next LT Pro" w:eastAsia="Times New Roman" w:hAnsi="Avenir Next LT Pro" w:cs="Tahoma"/>
          <w:b/>
          <w:lang w:eastAsia="pl-PL"/>
        </w:rPr>
      </w:pPr>
      <w:r w:rsidRPr="00CB5B8E">
        <w:rPr>
          <w:rFonts w:ascii="Avenir Next LT Pro" w:eastAsia="Times New Roman" w:hAnsi="Avenir Next LT Pro" w:cs="Tahoma"/>
          <w:b/>
          <w:lang w:eastAsia="pl-PL"/>
        </w:rPr>
        <w:t xml:space="preserve">nr </w:t>
      </w:r>
      <w:r w:rsidRPr="00CB5B8E">
        <w:rPr>
          <w:rFonts w:ascii="Avenir Next LT Pro" w:hAnsi="Avenir Next LT Pro" w:cs="Times New Roman"/>
          <w:b/>
          <w:bCs/>
        </w:rPr>
        <w:t>ADM-331/31/26</w:t>
      </w:r>
    </w:p>
    <w:p w14:paraId="34919ECD" w14:textId="77777777" w:rsidR="009D6F44" w:rsidRPr="00CB5B8E" w:rsidRDefault="009D6F44" w:rsidP="009D6F44">
      <w:pPr>
        <w:spacing w:after="0" w:line="276" w:lineRule="auto"/>
        <w:jc w:val="center"/>
        <w:rPr>
          <w:rFonts w:ascii="Avenir Next LT Pro" w:eastAsia="Times New Roman" w:hAnsi="Avenir Next LT Pro" w:cs="Tahoma"/>
          <w:lang w:eastAsia="pl-PL"/>
        </w:rPr>
      </w:pPr>
      <w:r w:rsidRPr="00CB5B8E">
        <w:rPr>
          <w:rFonts w:ascii="Avenir Next LT Pro" w:eastAsia="Times New Roman" w:hAnsi="Avenir Next LT Pro" w:cs="Tahoma"/>
          <w:lang w:eastAsia="pl-PL"/>
        </w:rPr>
        <w:t xml:space="preserve">w imieniu Wykonawcy: </w:t>
      </w:r>
    </w:p>
    <w:p w14:paraId="1C0401B1" w14:textId="77777777" w:rsidR="009D6F44" w:rsidRPr="00CB5B8E" w:rsidRDefault="009D6F44" w:rsidP="009D6F44">
      <w:pPr>
        <w:tabs>
          <w:tab w:val="left" w:pos="8505"/>
          <w:tab w:val="left" w:pos="13608"/>
        </w:tabs>
        <w:spacing w:after="0" w:line="276" w:lineRule="auto"/>
        <w:ind w:firstLine="425"/>
        <w:jc w:val="center"/>
        <w:rPr>
          <w:rFonts w:ascii="Avenir Next LT Pro" w:eastAsia="Times New Roman" w:hAnsi="Avenir Next LT Pro" w:cs="Tahoma"/>
          <w:bCs/>
          <w:kern w:val="28"/>
          <w:lang w:eastAsia="x-none"/>
        </w:rPr>
      </w:pPr>
      <w:r w:rsidRPr="00CB5B8E">
        <w:rPr>
          <w:rFonts w:ascii="Avenir Next LT Pro" w:eastAsia="Times New Roman" w:hAnsi="Avenir Next LT Pro" w:cs="Tahoma"/>
          <w:bCs/>
          <w:kern w:val="28"/>
          <w:lang w:eastAsia="x-none"/>
        </w:rPr>
        <w:t>________________________________________________</w:t>
      </w:r>
    </w:p>
    <w:p w14:paraId="60C1B56C" w14:textId="77777777" w:rsidR="009D6F44" w:rsidRPr="00CB5B8E" w:rsidRDefault="009D6F44" w:rsidP="009D6F44">
      <w:pPr>
        <w:tabs>
          <w:tab w:val="left" w:pos="8505"/>
          <w:tab w:val="left" w:pos="13608"/>
        </w:tabs>
        <w:spacing w:after="0" w:line="276" w:lineRule="auto"/>
        <w:ind w:firstLine="425"/>
        <w:jc w:val="center"/>
        <w:rPr>
          <w:rFonts w:ascii="Avenir Next LT Pro" w:eastAsia="Times New Roman" w:hAnsi="Avenir Next LT Pro" w:cs="Tahoma"/>
          <w:bCs/>
          <w:kern w:val="28"/>
          <w:lang w:eastAsia="x-none"/>
        </w:rPr>
      </w:pPr>
    </w:p>
    <w:p w14:paraId="0259CD13" w14:textId="77777777" w:rsidR="009D6F44" w:rsidRPr="00CB5B8E" w:rsidRDefault="009D6F44" w:rsidP="009D6F44">
      <w:pPr>
        <w:tabs>
          <w:tab w:val="left" w:pos="8505"/>
          <w:tab w:val="left" w:pos="13608"/>
        </w:tabs>
        <w:spacing w:after="0" w:line="276" w:lineRule="auto"/>
        <w:ind w:firstLine="425"/>
        <w:jc w:val="center"/>
        <w:rPr>
          <w:rFonts w:ascii="Avenir Next LT Pro" w:eastAsia="Times New Roman" w:hAnsi="Avenir Next LT Pro" w:cs="Tahoma"/>
          <w:b/>
          <w:bCs/>
          <w:kern w:val="28"/>
          <w:lang w:eastAsia="x-none"/>
        </w:rPr>
      </w:pPr>
    </w:p>
    <w:p w14:paraId="4A1D0767" w14:textId="77777777" w:rsidR="009D6F44" w:rsidRPr="00CB5B8E" w:rsidRDefault="009D6F44" w:rsidP="009D6F44">
      <w:pPr>
        <w:spacing w:line="276" w:lineRule="auto"/>
        <w:ind w:firstLine="360"/>
        <w:contextualSpacing/>
        <w:jc w:val="center"/>
        <w:rPr>
          <w:rFonts w:ascii="Avenir Next LT Pro" w:eastAsia="Times New Roman" w:hAnsi="Avenir Next LT Pro"/>
          <w:u w:color="000000"/>
          <w:lang w:bidi="en-US"/>
        </w:rPr>
      </w:pPr>
      <w:r w:rsidRPr="00CB5B8E">
        <w:rPr>
          <w:rFonts w:ascii="Avenir Next LT Pro" w:eastAsia="Times New Roman" w:hAnsi="Avenir Next LT Pro"/>
          <w:u w:color="000000"/>
          <w:lang w:bidi="en-US"/>
        </w:rPr>
        <w:t>________________________________________________</w:t>
      </w:r>
    </w:p>
    <w:p w14:paraId="56B1C86B" w14:textId="77777777" w:rsidR="009D6F44" w:rsidRPr="00CB5B8E" w:rsidRDefault="009D6F44" w:rsidP="009D6F44">
      <w:pPr>
        <w:spacing w:line="276" w:lineRule="auto"/>
        <w:ind w:firstLine="360"/>
        <w:contextualSpacing/>
        <w:jc w:val="center"/>
        <w:rPr>
          <w:rFonts w:ascii="Avenir Next LT Pro" w:eastAsia="Times New Roman" w:hAnsi="Avenir Next LT Pro"/>
          <w:i/>
          <w:sz w:val="16"/>
          <w:szCs w:val="16"/>
          <w:u w:color="000000"/>
          <w:lang w:bidi="en-US"/>
        </w:rPr>
      </w:pPr>
      <w:r w:rsidRPr="00CB5B8E">
        <w:rPr>
          <w:rFonts w:ascii="Avenir Next LT Pro" w:eastAsia="Times New Roman" w:hAnsi="Avenir Next LT Pro"/>
          <w:sz w:val="16"/>
          <w:szCs w:val="16"/>
          <w:u w:color="000000"/>
          <w:lang w:bidi="en-US"/>
        </w:rPr>
        <w:t>(</w:t>
      </w:r>
      <w:r w:rsidRPr="00CB5B8E">
        <w:rPr>
          <w:rFonts w:ascii="Avenir Next LT Pro" w:eastAsia="Times New Roman" w:hAnsi="Avenir Next LT Pro"/>
          <w:i/>
          <w:sz w:val="16"/>
          <w:szCs w:val="16"/>
          <w:u w:color="000000"/>
          <w:lang w:bidi="en-US"/>
        </w:rPr>
        <w:t>nazwa i adres Wykonawcy)</w:t>
      </w:r>
    </w:p>
    <w:p w14:paraId="7D3876E5" w14:textId="77777777" w:rsidR="009D6F44" w:rsidRPr="00CB5B8E" w:rsidRDefault="009D6F44" w:rsidP="009D6F44">
      <w:pPr>
        <w:spacing w:line="276" w:lineRule="auto"/>
        <w:ind w:firstLine="360"/>
        <w:contextualSpacing/>
        <w:jc w:val="center"/>
        <w:rPr>
          <w:rFonts w:ascii="Avenir Next LT Pro" w:eastAsia="Times New Roman" w:hAnsi="Avenir Next LT Pro"/>
          <w:i/>
          <w:sz w:val="16"/>
          <w:szCs w:val="16"/>
          <w:u w:color="000000"/>
          <w:lang w:bidi="en-US"/>
        </w:rPr>
      </w:pPr>
    </w:p>
    <w:tbl>
      <w:tblPr>
        <w:tblpPr w:leftFromText="141" w:rightFromText="141" w:vertAnchor="text" w:tblpY="1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0"/>
        <w:gridCol w:w="2158"/>
        <w:gridCol w:w="4567"/>
        <w:gridCol w:w="1691"/>
      </w:tblGrid>
      <w:tr w:rsidR="00CB5B8E" w:rsidRPr="00CB5B8E" w14:paraId="67115EA7" w14:textId="77777777" w:rsidTr="00CB5B8E">
        <w:trPr>
          <w:tblHeader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370E49CB" w14:textId="77777777" w:rsidR="00CB5B8E" w:rsidRPr="00CB5B8E" w:rsidRDefault="00CB5B8E" w:rsidP="00CB5B8E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CB5B8E">
              <w:rPr>
                <w:rFonts w:ascii="Avenir Next LT Pro" w:eastAsia="Times New Roman" w:hAnsi="Avenir Next LT Pro" w:cs="Arial"/>
                <w:bCs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210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3A31BEBF" w14:textId="77777777" w:rsidR="00CB5B8E" w:rsidRPr="00CB5B8E" w:rsidRDefault="00CB5B8E" w:rsidP="00CB5B8E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CB5B8E">
              <w:rPr>
                <w:rFonts w:ascii="Avenir Next LT Pro" w:eastAsia="Times New Roman" w:hAnsi="Avenir Next LT Pro" w:cs="Arial"/>
                <w:bCs/>
                <w:sz w:val="18"/>
                <w:szCs w:val="18"/>
                <w:lang w:eastAsia="pl-PL"/>
              </w:rPr>
              <w:t>Element zamówienia / część składowa</w:t>
            </w:r>
          </w:p>
        </w:tc>
        <w:tc>
          <w:tcPr>
            <w:tcW w:w="462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216F829A" w14:textId="77777777" w:rsidR="00CB5B8E" w:rsidRPr="00CB5B8E" w:rsidRDefault="00CB5B8E" w:rsidP="00CB5B8E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CB5B8E">
              <w:rPr>
                <w:rFonts w:ascii="Avenir Next LT Pro" w:eastAsia="Times New Roman" w:hAnsi="Avenir Next LT Pro" w:cs="Arial"/>
                <w:bCs/>
                <w:sz w:val="18"/>
                <w:szCs w:val="18"/>
                <w:lang w:eastAsia="pl-PL"/>
              </w:rPr>
              <w:t>Szczegółowy zakres (zgodnie z opz)</w:t>
            </w:r>
          </w:p>
        </w:tc>
        <w:tc>
          <w:tcPr>
            <w:tcW w:w="169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vAlign w:val="center"/>
            <w:hideMark/>
          </w:tcPr>
          <w:p w14:paraId="0B3AC710" w14:textId="5A55D3D5" w:rsidR="00CB5B8E" w:rsidRPr="00CB5B8E" w:rsidRDefault="00CB5B8E" w:rsidP="00CB5B8E">
            <w:pPr>
              <w:spacing w:after="0" w:line="240" w:lineRule="auto"/>
              <w:jc w:val="center"/>
              <w:rPr>
                <w:rFonts w:ascii="Avenir Next LT Pro" w:eastAsia="Times New Roman" w:hAnsi="Avenir Next LT Pro" w:cs="Arial"/>
                <w:bCs/>
                <w:sz w:val="18"/>
                <w:szCs w:val="18"/>
                <w:lang w:eastAsia="pl-PL"/>
              </w:rPr>
            </w:pPr>
            <w:r w:rsidRPr="00CB5B8E">
              <w:rPr>
                <w:rFonts w:ascii="Avenir Next LT Pro" w:eastAsia="Times New Roman" w:hAnsi="Avenir Next LT Pro" w:cs="Arial"/>
                <w:bCs/>
                <w:sz w:val="18"/>
                <w:szCs w:val="18"/>
                <w:lang w:eastAsia="pl-PL"/>
              </w:rPr>
              <w:t xml:space="preserve">Wartość </w:t>
            </w:r>
            <w:r w:rsidRPr="00CB5B8E">
              <w:rPr>
                <w:rFonts w:ascii="Avenir Next LT Pro" w:eastAsia="Times New Roman" w:hAnsi="Avenir Next LT Pro" w:cs="Arial"/>
                <w:bCs/>
                <w:sz w:val="18"/>
                <w:szCs w:val="18"/>
                <w:lang w:eastAsia="pl-PL"/>
              </w:rPr>
              <w:t>netto</w:t>
            </w:r>
          </w:p>
          <w:p w14:paraId="41F820DC" w14:textId="68F356CD" w:rsidR="00CB5B8E" w:rsidRPr="00CB5B8E" w:rsidRDefault="00CB5B8E" w:rsidP="00CB5B8E">
            <w:pPr>
              <w:spacing w:after="0" w:line="240" w:lineRule="auto"/>
              <w:jc w:val="center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CB5B8E">
              <w:rPr>
                <w:rFonts w:ascii="Avenir Next LT Pro" w:eastAsia="Times New Roman" w:hAnsi="Avenir Next LT Pro" w:cs="Arial"/>
                <w:bCs/>
                <w:sz w:val="18"/>
                <w:szCs w:val="18"/>
                <w:lang w:eastAsia="pl-PL"/>
              </w:rPr>
              <w:t>w PLN</w:t>
            </w:r>
          </w:p>
        </w:tc>
      </w:tr>
      <w:tr w:rsidR="00CB5B8E" w:rsidRPr="00CB5B8E" w14:paraId="0BA8C038" w14:textId="77777777" w:rsidTr="00CB5B8E"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2069187E" w14:textId="77777777" w:rsidR="00CB5B8E" w:rsidRPr="00CB5B8E" w:rsidRDefault="00CB5B8E" w:rsidP="00CB5B8E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CB5B8E">
              <w:rPr>
                <w:rFonts w:ascii="Avenir Next LT Pro" w:eastAsia="Times New Roman" w:hAnsi="Avenir Next LT Pro" w:cs="Arial"/>
                <w:bCs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210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7ADD5BDB" w14:textId="77777777" w:rsidR="00CB5B8E" w:rsidRPr="00CB5B8E" w:rsidRDefault="00CB5B8E" w:rsidP="00CB5B8E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CB5B8E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Projekt, wykonanie, wdrożenie Serwisu i systemu CMS wraz z SEO</w:t>
            </w:r>
          </w:p>
        </w:tc>
        <w:tc>
          <w:tcPr>
            <w:tcW w:w="462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1919E8B5" w14:textId="77777777" w:rsidR="00CB5B8E" w:rsidRPr="00CB5B8E" w:rsidRDefault="00CB5B8E" w:rsidP="00CB5B8E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CB5B8E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Zaprojektowanie i wykonanie nowoczesnego serwisu z bezkodowym zarządzaniem (w tym menu drag-and-drop), automatyzacją i optymalizacją multimediów (WebP/AVIF, MP4/WebM, sRGB), ścieżką uprawnień Workflow, systemem wyskakujących alertów Pop-up oraz pełnym wdrożeniem SEO (przyjazne URL, sitemap.xml, robots.txt, dane ustrukturyzowane Schema.org dla instytucji kultury). </w:t>
            </w:r>
          </w:p>
        </w:tc>
        <w:tc>
          <w:tcPr>
            <w:tcW w:w="169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3BDF96CB" w14:textId="77777777" w:rsidR="00CB5B8E" w:rsidRPr="00CB5B8E" w:rsidRDefault="00CB5B8E" w:rsidP="00CB5B8E">
            <w:pPr>
              <w:spacing w:after="0" w:line="240" w:lineRule="auto"/>
              <w:jc w:val="right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</w:p>
        </w:tc>
      </w:tr>
      <w:tr w:rsidR="00CB5B8E" w:rsidRPr="00CB5B8E" w14:paraId="02621D2D" w14:textId="77777777" w:rsidTr="00CB5B8E"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63E2C8FB" w14:textId="77777777" w:rsidR="00CB5B8E" w:rsidRPr="00CB5B8E" w:rsidRDefault="00CB5B8E" w:rsidP="00CB5B8E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CB5B8E">
              <w:rPr>
                <w:rFonts w:ascii="Avenir Next LT Pro" w:eastAsia="Times New Roman" w:hAnsi="Avenir Next LT Pro" w:cs="Arial"/>
                <w:bCs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210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0E453E92" w14:textId="77777777" w:rsidR="00CB5B8E" w:rsidRPr="00CB5B8E" w:rsidRDefault="00CB5B8E" w:rsidP="00CB5B8E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CB5B8E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Pełna migracja danych ze starej strony</w:t>
            </w:r>
          </w:p>
        </w:tc>
        <w:tc>
          <w:tcPr>
            <w:tcW w:w="462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117E2469" w14:textId="77777777" w:rsidR="00CB5B8E" w:rsidRPr="00CB5B8E" w:rsidRDefault="00CB5B8E" w:rsidP="00CB5B8E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CB5B8E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Bezstratne przeniesienie wszystkich materiałów tekstowych, aktualności, artykułów, baz danych oraz multimediów z dotychczasowego serwisu Zamawiającego wraz z wdrożeniem przekierowań 301. </w:t>
            </w:r>
          </w:p>
        </w:tc>
        <w:tc>
          <w:tcPr>
            <w:tcW w:w="169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70803AF1" w14:textId="77777777" w:rsidR="00CB5B8E" w:rsidRPr="00CB5B8E" w:rsidRDefault="00CB5B8E" w:rsidP="00CB5B8E">
            <w:pPr>
              <w:spacing w:after="0" w:line="240" w:lineRule="auto"/>
              <w:jc w:val="right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</w:p>
        </w:tc>
      </w:tr>
      <w:tr w:rsidR="00CB5B8E" w:rsidRPr="00CB5B8E" w14:paraId="06F16FC0" w14:textId="77777777" w:rsidTr="00CB5B8E"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0905F0F0" w14:textId="77777777" w:rsidR="00CB5B8E" w:rsidRPr="00CB5B8E" w:rsidRDefault="00CB5B8E" w:rsidP="00CB5B8E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CB5B8E">
              <w:rPr>
                <w:rFonts w:ascii="Avenir Next LT Pro" w:eastAsia="Times New Roman" w:hAnsi="Avenir Next LT Pro" w:cs="Arial"/>
                <w:bCs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210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43F8D366" w14:textId="77777777" w:rsidR="00CB5B8E" w:rsidRPr="00CB5B8E" w:rsidRDefault="00CB5B8E" w:rsidP="00CB5B8E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CB5B8E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Moduły Interaktywne (Komentarze, Ankiety, Newsletter)</w:t>
            </w:r>
          </w:p>
        </w:tc>
        <w:tc>
          <w:tcPr>
            <w:tcW w:w="462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3BD2C0F8" w14:textId="77777777" w:rsidR="00CB5B8E" w:rsidRPr="00CB5B8E" w:rsidRDefault="00CB5B8E" w:rsidP="00CB5B8E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CB5B8E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Wdrożenie kreatora dowolnych ankiet z eksportem danych, modułu komentarzy z panelem moderacji i integracją AI Guardrails oraz modułu Newslettera (Double Opt-In) z integracją z systemem wysyłkowym/SMTP (w tym koszty licencji/API na cały okres gwarancji). </w:t>
            </w:r>
          </w:p>
        </w:tc>
        <w:tc>
          <w:tcPr>
            <w:tcW w:w="169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5087DB35" w14:textId="77777777" w:rsidR="00CB5B8E" w:rsidRPr="00CB5B8E" w:rsidRDefault="00CB5B8E" w:rsidP="00CB5B8E">
            <w:pPr>
              <w:spacing w:after="0" w:line="240" w:lineRule="auto"/>
              <w:jc w:val="right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</w:p>
        </w:tc>
      </w:tr>
      <w:tr w:rsidR="00CB5B8E" w:rsidRPr="00CB5B8E" w14:paraId="1480BED7" w14:textId="77777777" w:rsidTr="00CB5B8E"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7758D703" w14:textId="77777777" w:rsidR="00CB5B8E" w:rsidRPr="00CB5B8E" w:rsidRDefault="00CB5B8E" w:rsidP="00CB5B8E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CB5B8E">
              <w:rPr>
                <w:rFonts w:ascii="Avenir Next LT Pro" w:eastAsia="Times New Roman" w:hAnsi="Avenir Next LT Pro" w:cs="Arial"/>
                <w:bCs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210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263D8C1F" w14:textId="77777777" w:rsidR="00CB5B8E" w:rsidRPr="00CB5B8E" w:rsidRDefault="00CB5B8E" w:rsidP="00CB5B8E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CB5B8E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Responsywny moduł lokalizacji „Jak dojechać”</w:t>
            </w:r>
          </w:p>
        </w:tc>
        <w:tc>
          <w:tcPr>
            <w:tcW w:w="462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223548D2" w14:textId="77777777" w:rsidR="00CB5B8E" w:rsidRPr="00CB5B8E" w:rsidRDefault="00CB5B8E" w:rsidP="00CB5B8E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CB5B8E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Zaprojektowanie i wdrożenie responsywnego modułu lokalizacji „Jak dojechać” (mapy interaktywnej) wraz z pełnym pokryciem kosztów kluczy API/licencji i integracją z modułem zgód RODO (Privacy by Default) przez cały okres gwarancji. </w:t>
            </w:r>
          </w:p>
        </w:tc>
        <w:tc>
          <w:tcPr>
            <w:tcW w:w="169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5A15E1B5" w14:textId="77777777" w:rsidR="00CB5B8E" w:rsidRPr="00CB5B8E" w:rsidRDefault="00CB5B8E" w:rsidP="00CB5B8E">
            <w:pPr>
              <w:spacing w:after="0" w:line="240" w:lineRule="auto"/>
              <w:jc w:val="right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</w:p>
        </w:tc>
      </w:tr>
      <w:tr w:rsidR="00CB5B8E" w:rsidRPr="00CB5B8E" w14:paraId="25945D6B" w14:textId="77777777" w:rsidTr="00CB5B8E"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2A25E8AB" w14:textId="77777777" w:rsidR="00CB5B8E" w:rsidRPr="00CB5B8E" w:rsidRDefault="00CB5B8E" w:rsidP="00CB5B8E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CB5B8E">
              <w:rPr>
                <w:rFonts w:ascii="Avenir Next LT Pro" w:eastAsia="Times New Roman" w:hAnsi="Avenir Next LT Pro" w:cs="Arial"/>
                <w:bCs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210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0B5BA232" w14:textId="77777777" w:rsidR="00CB5B8E" w:rsidRPr="00CB5B8E" w:rsidRDefault="00CB5B8E" w:rsidP="00CB5B8E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CB5B8E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Moduł Integracji z Mediami Społecznościowymi</w:t>
            </w:r>
          </w:p>
        </w:tc>
        <w:tc>
          <w:tcPr>
            <w:tcW w:w="462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556A02DF" w14:textId="77777777" w:rsidR="00CB5B8E" w:rsidRPr="00CB5B8E" w:rsidRDefault="00CB5B8E" w:rsidP="00CB5B8E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CB5B8E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Kompleksowe wdrożenie systemu integracji z FB, Google, YT, Instagram oraz TikTok, obejmujące Social Login OAuth 2.0, widgety Social Feed, przyciski Social Sharing, optymalizację asynchronicznego ładowania odtwarzaczy wideo oraz pełne wdrożenie placeholderów i polityki prywatności RODO (Privacy by Design). </w:t>
            </w:r>
          </w:p>
        </w:tc>
        <w:tc>
          <w:tcPr>
            <w:tcW w:w="169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20A2EE15" w14:textId="77777777" w:rsidR="00CB5B8E" w:rsidRPr="00CB5B8E" w:rsidRDefault="00CB5B8E" w:rsidP="00CB5B8E">
            <w:pPr>
              <w:spacing w:after="0" w:line="240" w:lineRule="auto"/>
              <w:jc w:val="right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</w:p>
        </w:tc>
      </w:tr>
      <w:tr w:rsidR="00CB5B8E" w:rsidRPr="00CB5B8E" w14:paraId="14B603F0" w14:textId="77777777" w:rsidTr="00CB5B8E"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47D097C7" w14:textId="77777777" w:rsidR="00CB5B8E" w:rsidRPr="00CB5B8E" w:rsidRDefault="00CB5B8E" w:rsidP="00CB5B8E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CB5B8E">
              <w:rPr>
                <w:rFonts w:ascii="Avenir Next LT Pro" w:eastAsia="Times New Roman" w:hAnsi="Avenir Next LT Pro" w:cs="Arial"/>
                <w:bCs/>
                <w:sz w:val="18"/>
                <w:szCs w:val="18"/>
                <w:lang w:eastAsia="pl-PL"/>
              </w:rPr>
              <w:t>6.</w:t>
            </w:r>
          </w:p>
        </w:tc>
        <w:tc>
          <w:tcPr>
            <w:tcW w:w="210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285B9931" w14:textId="77777777" w:rsidR="00CB5B8E" w:rsidRPr="00CB5B8E" w:rsidRDefault="00CB5B8E" w:rsidP="00CB5B8E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CB5B8E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Pakiety i Moduły Sztucznej Inteligencji (AI) wraz z </w:t>
            </w:r>
            <w:r w:rsidRPr="00CB5B8E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lastRenderedPageBreak/>
              <w:t>utrzymaniem i tokenami</w:t>
            </w:r>
          </w:p>
        </w:tc>
        <w:tc>
          <w:tcPr>
            <w:tcW w:w="462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5D10B5DB" w14:textId="77777777" w:rsidR="00CB5B8E" w:rsidRPr="00CB5B8E" w:rsidRDefault="00CB5B8E" w:rsidP="00CB5B8E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CB5B8E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lastRenderedPageBreak/>
              <w:t xml:space="preserve">Wirtualny Asystent (Czat AI PL/EN) z ciągłym trenowaniem RAG na danych Muzeum, zadawanie pytań głosowych (STT), system weryfikacji pytań (AI Guardrails), automatyczne tłumaczenia (na 3 języki), </w:t>
            </w:r>
            <w:r w:rsidRPr="00CB5B8E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lastRenderedPageBreak/>
              <w:t>automatyczna audiodeskrypcja (w tym TTS).</w:t>
            </w:r>
            <w:r w:rsidRPr="00CB5B8E">
              <w:rPr>
                <w:rFonts w:ascii="Avenir Next LT Pro" w:hAnsi="Avenir Next LT Pro"/>
              </w:rPr>
              <w:t xml:space="preserve"> </w:t>
            </w:r>
            <w:r w:rsidRPr="00CB5B8E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Wykonawca kalkuluje cenę ryczałtową w oparciu o maksymalne pule miesięczne zdefiniowane w Sekcji IV pkt 9 OPZ. Do oferty należy dołączyć tabelę stawek jednostkowych za zużycie ponadlimitowe. . </w:t>
            </w:r>
          </w:p>
        </w:tc>
        <w:tc>
          <w:tcPr>
            <w:tcW w:w="169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49170F62" w14:textId="77777777" w:rsidR="00CB5B8E" w:rsidRPr="00CB5B8E" w:rsidRDefault="00CB5B8E" w:rsidP="00CB5B8E">
            <w:pPr>
              <w:spacing w:after="0" w:line="240" w:lineRule="auto"/>
              <w:jc w:val="right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</w:p>
        </w:tc>
      </w:tr>
      <w:tr w:rsidR="00CB5B8E" w:rsidRPr="00CB5B8E" w14:paraId="59644DFC" w14:textId="77777777" w:rsidTr="00CB5B8E"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25C1BFCB" w14:textId="77777777" w:rsidR="00CB5B8E" w:rsidRPr="00CB5B8E" w:rsidRDefault="00CB5B8E" w:rsidP="00CB5B8E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CB5B8E">
              <w:rPr>
                <w:rFonts w:ascii="Avenir Next LT Pro" w:eastAsia="Times New Roman" w:hAnsi="Avenir Next LT Pro" w:cs="Arial"/>
                <w:bCs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210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14E78BAA" w14:textId="77777777" w:rsidR="00CB5B8E" w:rsidRPr="00CB5B8E" w:rsidRDefault="00CB5B8E" w:rsidP="00CB5B8E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CB5B8E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Moduł Mikropłatności i Crowdfundingu</w:t>
            </w:r>
          </w:p>
        </w:tc>
        <w:tc>
          <w:tcPr>
            <w:tcW w:w="462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11E5C616" w14:textId="77777777" w:rsidR="00CB5B8E" w:rsidRPr="00CB5B8E" w:rsidRDefault="00CB5B8E" w:rsidP="00CB5B8E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CB5B8E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Zaprojektowanie, wdrożenie i pełna integracja mechanizmu współfinansowania treści („Postaw kawę”) z bramkami płatniczymi (PayU, P24, Tpay, Stripe)[cite: 1], Galerią Cyfrową oraz Social Media[cite: 1], a także zapewnienie pełnej, dwukierunkowej integracji i współpracy Serwisu z zewnętrznym systemem rezerwacji i sprzedaży biletów IKSORIS (w tym obsługa dynamicznych stanów, deep-linking oraz prezentacja oferty sprzedażowej biletów/wydarzeń). </w:t>
            </w:r>
          </w:p>
        </w:tc>
        <w:tc>
          <w:tcPr>
            <w:tcW w:w="169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55848EBA" w14:textId="77777777" w:rsidR="00CB5B8E" w:rsidRPr="00CB5B8E" w:rsidRDefault="00CB5B8E" w:rsidP="00CB5B8E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</w:p>
        </w:tc>
      </w:tr>
      <w:tr w:rsidR="00CB5B8E" w:rsidRPr="00CB5B8E" w14:paraId="2446D117" w14:textId="77777777" w:rsidTr="00CB5B8E"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7810A345" w14:textId="77777777" w:rsidR="00CB5B8E" w:rsidRPr="00CB5B8E" w:rsidRDefault="00CB5B8E" w:rsidP="00CB5B8E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CB5B8E">
              <w:rPr>
                <w:rFonts w:ascii="Avenir Next LT Pro" w:eastAsia="Times New Roman" w:hAnsi="Avenir Next LT Pro" w:cs="Arial"/>
                <w:bCs/>
                <w:sz w:val="18"/>
                <w:szCs w:val="18"/>
                <w:lang w:eastAsia="pl-PL"/>
              </w:rPr>
              <w:t>8.</w:t>
            </w:r>
          </w:p>
        </w:tc>
        <w:tc>
          <w:tcPr>
            <w:tcW w:w="210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31548F65" w14:textId="77777777" w:rsidR="00CB5B8E" w:rsidRPr="00CB5B8E" w:rsidRDefault="00CB5B8E" w:rsidP="00CB5B8E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CB5B8E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Katalog Cyfrowych Lekcji Muzealnych</w:t>
            </w:r>
          </w:p>
        </w:tc>
        <w:tc>
          <w:tcPr>
            <w:tcW w:w="462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140DDCF4" w14:textId="77777777" w:rsidR="00CB5B8E" w:rsidRPr="00CB5B8E" w:rsidRDefault="00CB5B8E" w:rsidP="00CB5B8E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CB5B8E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Zaprojektowanie i wdrożenie interaktywnego repozytorium lekcji z wyszukiwaniem i filtrowaniem, responsywnym odtwarzaczem wideo zgodnym z WCAG 2.2 (napisy, audiodeskrypcja) oraz wprowadzeniem pierwszych 10 lekcji do pobrania. </w:t>
            </w:r>
          </w:p>
        </w:tc>
        <w:tc>
          <w:tcPr>
            <w:tcW w:w="169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38BF770C" w14:textId="77777777" w:rsidR="00CB5B8E" w:rsidRPr="00CB5B8E" w:rsidRDefault="00CB5B8E" w:rsidP="00CB5B8E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</w:p>
        </w:tc>
      </w:tr>
      <w:tr w:rsidR="00CB5B8E" w:rsidRPr="00CB5B8E" w14:paraId="6D95291F" w14:textId="77777777" w:rsidTr="00CB5B8E"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4BD02F01" w14:textId="77777777" w:rsidR="00CB5B8E" w:rsidRPr="00CB5B8E" w:rsidRDefault="00CB5B8E" w:rsidP="00CB5B8E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CB5B8E">
              <w:rPr>
                <w:rFonts w:ascii="Avenir Next LT Pro" w:eastAsia="Times New Roman" w:hAnsi="Avenir Next LT Pro" w:cs="Arial"/>
                <w:bCs/>
                <w:sz w:val="18"/>
                <w:szCs w:val="18"/>
                <w:lang w:eastAsia="pl-PL"/>
              </w:rPr>
              <w:t>9.</w:t>
            </w:r>
          </w:p>
        </w:tc>
        <w:tc>
          <w:tcPr>
            <w:tcW w:w="210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0CA8166D" w14:textId="77777777" w:rsidR="00CB5B8E" w:rsidRPr="00CB5B8E" w:rsidRDefault="00CB5B8E" w:rsidP="00CB5B8E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CB5B8E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Dostępność cyfrowa (WCAG 2.2 AA) i nagrania PJM</w:t>
            </w:r>
          </w:p>
        </w:tc>
        <w:tc>
          <w:tcPr>
            <w:tcW w:w="462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27711E01" w14:textId="77777777" w:rsidR="00CB5B8E" w:rsidRPr="00CB5B8E" w:rsidRDefault="00CB5B8E" w:rsidP="00CB5B8E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CB5B8E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Zapewnienie pełnej zgodności z wytycznymi WCAG 2.2 AA (w tym moduł płatności), wdrożenie natywnego przełącznika trybu wysokiego kontrastu, jednorazowy niezależny audyt zewnętrzny i uzyskanie certyfikatu WCAG oraz przygotowanie nagrań wideo z tłumaczem Polskiego Języka Migowego (PJM) do limitu 25 minut gotowego materiału. </w:t>
            </w:r>
          </w:p>
        </w:tc>
        <w:tc>
          <w:tcPr>
            <w:tcW w:w="169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12CA1505" w14:textId="77777777" w:rsidR="00CB5B8E" w:rsidRPr="00CB5B8E" w:rsidRDefault="00CB5B8E" w:rsidP="00CB5B8E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</w:p>
        </w:tc>
      </w:tr>
      <w:tr w:rsidR="00CB5B8E" w:rsidRPr="00CB5B8E" w14:paraId="03F3C52F" w14:textId="77777777" w:rsidTr="00CB5B8E"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0E576EF8" w14:textId="77777777" w:rsidR="00CB5B8E" w:rsidRPr="00CB5B8E" w:rsidRDefault="00CB5B8E" w:rsidP="00CB5B8E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CB5B8E">
              <w:rPr>
                <w:rFonts w:ascii="Avenir Next LT Pro" w:eastAsia="Times New Roman" w:hAnsi="Avenir Next LT Pro" w:cs="Arial"/>
                <w:bCs/>
                <w:sz w:val="18"/>
                <w:szCs w:val="18"/>
                <w:lang w:eastAsia="pl-PL"/>
              </w:rPr>
              <w:t>10.</w:t>
            </w:r>
          </w:p>
        </w:tc>
        <w:tc>
          <w:tcPr>
            <w:tcW w:w="210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4B48D85D" w14:textId="77777777" w:rsidR="00CB5B8E" w:rsidRPr="00CB5B8E" w:rsidRDefault="00CB5B8E" w:rsidP="00CB5B8E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CB5B8E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Ochrona Danych (RODO), Cyberbezpieczeństwo i Szyfrowanie</w:t>
            </w:r>
          </w:p>
        </w:tc>
        <w:tc>
          <w:tcPr>
            <w:tcW w:w="462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44A1516F" w14:textId="77777777" w:rsidR="00CB5B8E" w:rsidRPr="00CB5B8E" w:rsidRDefault="00CB5B8E" w:rsidP="00CB5B8E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CB5B8E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Rozwiązanie powinno wspierać realizację wymagań wynikających z Krajowych Ram Interoperacyjności (KRI) oraz Dyrektywy NIS2, w szczególności poprzez zastosowanie odpowiednich mechanizmów uwierzytelniania, szyfrowania, monitorowania oraz zarządzania dostępem. Zaawansowane i wydajne szyfrowanie bazy danych (TDE / Encryption at Rest z zarządzaniem KMS), szyfrowanie transmisji (TLS 1.3), mechanizmy pseudonimizacji i kryptograficznego haszowania zapytań AI w celu optymalizacji bazy wektorowej RAG. Wdrożenie mechanizmów RODO (anonimizacja, prawo do bycia zapomnianym). Kompleksowe opracowanie prawne dokumentów wraz z narzędziem do bezkodowej modyfikacji klauzul z poziomu CMS. System monitoringu i powiadamiania o błędach 24/7/365 oraz automatyczny backup.</w:t>
            </w:r>
          </w:p>
        </w:tc>
        <w:tc>
          <w:tcPr>
            <w:tcW w:w="169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775E9E81" w14:textId="77777777" w:rsidR="00CB5B8E" w:rsidRPr="00CB5B8E" w:rsidRDefault="00CB5B8E" w:rsidP="00CB5B8E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</w:p>
        </w:tc>
      </w:tr>
      <w:tr w:rsidR="00CB5B8E" w:rsidRPr="00CB5B8E" w14:paraId="33E2C5EF" w14:textId="77777777" w:rsidTr="00CB5B8E"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39E05B8A" w14:textId="77777777" w:rsidR="00CB5B8E" w:rsidRPr="00CB5B8E" w:rsidRDefault="00CB5B8E" w:rsidP="00CB5B8E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CB5B8E">
              <w:rPr>
                <w:rFonts w:ascii="Avenir Next LT Pro" w:eastAsia="Times New Roman" w:hAnsi="Avenir Next LT Pro" w:cs="Arial"/>
                <w:bCs/>
                <w:sz w:val="18"/>
                <w:szCs w:val="18"/>
                <w:lang w:eastAsia="pl-PL"/>
              </w:rPr>
              <w:t>11.</w:t>
            </w:r>
          </w:p>
        </w:tc>
        <w:tc>
          <w:tcPr>
            <w:tcW w:w="210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6F249133" w14:textId="77777777" w:rsidR="00CB5B8E" w:rsidRPr="00CB5B8E" w:rsidRDefault="00CB5B8E" w:rsidP="00CB5B8E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CB5B8E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Niezależne Testy Penetracyjne (Bezpieczeństwa)</w:t>
            </w:r>
          </w:p>
        </w:tc>
        <w:tc>
          <w:tcPr>
            <w:tcW w:w="462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68E34A16" w14:textId="77777777" w:rsidR="00CB5B8E" w:rsidRPr="00CB5B8E" w:rsidRDefault="00CB5B8E" w:rsidP="00CB5B8E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CB5B8E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Przeprowadzenie testów podatności przed produkcyjnym uruchomieniem Serwisu oraz cyklicznie minimum 1 raz w roku przez cały okres gwarancji przez niezależną instytucję zewnętrzną (łącznie minimum 4 testów w okresie 36 miesięcy). </w:t>
            </w:r>
          </w:p>
        </w:tc>
        <w:tc>
          <w:tcPr>
            <w:tcW w:w="169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39776176" w14:textId="77777777" w:rsidR="00CB5B8E" w:rsidRPr="00CB5B8E" w:rsidRDefault="00CB5B8E" w:rsidP="00CB5B8E">
            <w:pPr>
              <w:spacing w:after="0" w:line="240" w:lineRule="auto"/>
              <w:jc w:val="right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</w:p>
        </w:tc>
      </w:tr>
      <w:tr w:rsidR="00CB5B8E" w:rsidRPr="00CB5B8E" w14:paraId="2BC91ACE" w14:textId="77777777" w:rsidTr="00CB5B8E"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1DD0220A" w14:textId="77777777" w:rsidR="00CB5B8E" w:rsidRPr="00CB5B8E" w:rsidRDefault="00CB5B8E" w:rsidP="00CB5B8E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CB5B8E">
              <w:rPr>
                <w:rFonts w:ascii="Avenir Next LT Pro" w:eastAsia="Times New Roman" w:hAnsi="Avenir Next LT Pro" w:cs="Arial"/>
                <w:bCs/>
                <w:sz w:val="18"/>
                <w:szCs w:val="18"/>
                <w:lang w:eastAsia="pl-PL"/>
              </w:rPr>
              <w:t>12.</w:t>
            </w:r>
          </w:p>
        </w:tc>
        <w:tc>
          <w:tcPr>
            <w:tcW w:w="210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54B6A6A8" w14:textId="77777777" w:rsidR="00CB5B8E" w:rsidRPr="00CB5B8E" w:rsidRDefault="00CB5B8E" w:rsidP="00CB5B8E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CB5B8E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Infrastruktura Hostingowa i </w:t>
            </w:r>
            <w:r w:rsidRPr="00CB5B8E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lastRenderedPageBreak/>
              <w:t>Certyfikat SSL (okres 36 miesięcy)</w:t>
            </w:r>
          </w:p>
        </w:tc>
        <w:tc>
          <w:tcPr>
            <w:tcW w:w="462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7E2470BD" w14:textId="77777777" w:rsidR="00CB5B8E" w:rsidRPr="00CB5B8E" w:rsidRDefault="00CB5B8E" w:rsidP="00CB5B8E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CB5B8E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lastRenderedPageBreak/>
              <w:t xml:space="preserve">Utrzymanie dwóch niezależnych środowisk (Produkcja i Staging) na terenie EOG z ochroną </w:t>
            </w:r>
            <w:r w:rsidRPr="00CB5B8E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lastRenderedPageBreak/>
              <w:t xml:space="preserve">DDoS, brak limitów transferu danych, gwarancja wskaźników Core Web Vitals, bezkosztowe przeniesienie i utrzymanie pozostałych subdomen muzeum oraz zakup i odnawianie certyfikatu SSL o poziomie walidacji min. OV. </w:t>
            </w:r>
          </w:p>
        </w:tc>
        <w:tc>
          <w:tcPr>
            <w:tcW w:w="169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61E86720" w14:textId="77777777" w:rsidR="00CB5B8E" w:rsidRPr="00CB5B8E" w:rsidRDefault="00CB5B8E" w:rsidP="00CB5B8E">
            <w:pPr>
              <w:spacing w:after="0" w:line="240" w:lineRule="auto"/>
              <w:jc w:val="right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</w:p>
        </w:tc>
      </w:tr>
      <w:tr w:rsidR="00CB5B8E" w:rsidRPr="00CB5B8E" w14:paraId="3E7677A2" w14:textId="77777777" w:rsidTr="00CB5B8E"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5D16250E" w14:textId="77777777" w:rsidR="00CB5B8E" w:rsidRPr="00CB5B8E" w:rsidRDefault="00CB5B8E" w:rsidP="00CB5B8E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CB5B8E">
              <w:rPr>
                <w:rFonts w:ascii="Avenir Next LT Pro" w:eastAsia="Times New Roman" w:hAnsi="Avenir Next LT Pro" w:cs="Arial"/>
                <w:bCs/>
                <w:sz w:val="18"/>
                <w:szCs w:val="18"/>
                <w:lang w:eastAsia="pl-PL"/>
              </w:rPr>
              <w:t>13.</w:t>
            </w:r>
          </w:p>
        </w:tc>
        <w:tc>
          <w:tcPr>
            <w:tcW w:w="210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35986A38" w14:textId="77777777" w:rsidR="00CB5B8E" w:rsidRPr="00CB5B8E" w:rsidRDefault="00CB5B8E" w:rsidP="00CB5B8E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CB5B8E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Wsparcie Techniczne, Otwartość API i Aktualizacje (okres 36 miesięcy)</w:t>
            </w:r>
          </w:p>
        </w:tc>
        <w:tc>
          <w:tcPr>
            <w:tcW w:w="462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332FC1E8" w14:textId="77777777" w:rsidR="00CB5B8E" w:rsidRPr="00CB5B8E" w:rsidRDefault="00CB5B8E" w:rsidP="00CB5B8E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CB5B8E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Świadczenie pełnej opieki technicznej i permanentnych, regularnych aktualizacji systemu CMS, frameworków, baz danych, wtyczek i modułów (w tym AI) do wersji stabilnych. </w:t>
            </w:r>
            <w:r w:rsidRPr="00CB5B8E">
              <w:rPr>
                <w:rFonts w:ascii="Avenir Next LT Pro" w:eastAsia="Times New Roman" w:hAnsi="Avenir Next LT Pro" w:cs="Arial"/>
                <w:bCs/>
                <w:sz w:val="18"/>
                <w:szCs w:val="18"/>
                <w:lang w:eastAsia="pl-PL"/>
              </w:rPr>
              <w:t>Cena ryczałtowa obejmuje zaprojektowanie architektury w pełnym standardzie API-First oraz przygotowanie bazy danych, routingu i modułu AI do przyszłej, bezwtyczkowej i elastycznej wymiany danych z systemami zewnętrznymi zgodnie z Sekcją II OPZ.</w:t>
            </w:r>
            <w:r w:rsidRPr="00CB5B8E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69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0AD8E92F" w14:textId="77777777" w:rsidR="00CB5B8E" w:rsidRPr="00CB5B8E" w:rsidRDefault="00CB5B8E" w:rsidP="00CB5B8E">
            <w:pPr>
              <w:spacing w:after="0" w:line="240" w:lineRule="auto"/>
              <w:jc w:val="right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</w:p>
        </w:tc>
      </w:tr>
      <w:tr w:rsidR="00CB5B8E" w:rsidRPr="00CB5B8E" w14:paraId="7247E25C" w14:textId="77777777" w:rsidTr="00CB5B8E"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61D8473C" w14:textId="77777777" w:rsidR="00CB5B8E" w:rsidRPr="00CB5B8E" w:rsidRDefault="00CB5B8E" w:rsidP="00CB5B8E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CB5B8E">
              <w:rPr>
                <w:rFonts w:ascii="Avenir Next LT Pro" w:eastAsia="Times New Roman" w:hAnsi="Avenir Next LT Pro" w:cs="Arial"/>
                <w:bCs/>
                <w:sz w:val="18"/>
                <w:szCs w:val="18"/>
                <w:lang w:eastAsia="pl-PL"/>
              </w:rPr>
              <w:t>14.</w:t>
            </w:r>
          </w:p>
        </w:tc>
        <w:tc>
          <w:tcPr>
            <w:tcW w:w="210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4131AA47" w14:textId="77777777" w:rsidR="00CB5B8E" w:rsidRPr="00CB5B8E" w:rsidRDefault="00CB5B8E" w:rsidP="00CB5B8E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CB5B8E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Spotkania Projektowe, Szkolenia, Licencje i Wydanie Kodów</w:t>
            </w:r>
          </w:p>
        </w:tc>
        <w:tc>
          <w:tcPr>
            <w:tcW w:w="462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295E4BB2" w14:textId="77777777" w:rsidR="00CB5B8E" w:rsidRPr="00CB5B8E" w:rsidRDefault="00CB5B8E" w:rsidP="00CB5B8E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CB5B8E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Udział w stacjonarnych spotkaniach projektowych u Zamawiającego, przeprowadzenie kompleksowych szkoleń stacjonarnych dla pracowników wraz z dostarczeniem materiałów drukowanych i cyfrowych. Przekazanie pełnych praw autorskich majątkowych i zależnych, wydanie kompletnego niezaszyfrowanego kodu źródłowego oraz haseł root/db-admin oraz dostarczenie praw/licencji/subskrypcji do wszelkich ewentualnych technologii komercyjnych na okres gwarancji. </w:t>
            </w:r>
          </w:p>
        </w:tc>
        <w:tc>
          <w:tcPr>
            <w:tcW w:w="169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643F7A68" w14:textId="77777777" w:rsidR="00CB5B8E" w:rsidRPr="00CB5B8E" w:rsidRDefault="00CB5B8E" w:rsidP="00CB5B8E">
            <w:pPr>
              <w:spacing w:after="0" w:line="240" w:lineRule="auto"/>
              <w:jc w:val="right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</w:p>
        </w:tc>
      </w:tr>
      <w:tr w:rsidR="00CB5B8E" w:rsidRPr="00CB5B8E" w14:paraId="0F3B92D4" w14:textId="77777777" w:rsidTr="00CB5B8E">
        <w:tc>
          <w:tcPr>
            <w:tcW w:w="7363" w:type="dxa"/>
            <w:gridSpan w:val="3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58F1B802" w14:textId="61706964" w:rsidR="00CB5B8E" w:rsidRPr="00CB5B8E" w:rsidRDefault="00CB5B8E" w:rsidP="00CB5B8E">
            <w:pPr>
              <w:spacing w:after="0" w:line="240" w:lineRule="auto"/>
              <w:jc w:val="right"/>
              <w:rPr>
                <w:rFonts w:ascii="Avenir Next LT Pro" w:eastAsia="Times New Roman" w:hAnsi="Avenir Next LT Pro" w:cs="Arial"/>
                <w:bCs/>
                <w:sz w:val="18"/>
                <w:szCs w:val="18"/>
                <w:lang w:eastAsia="pl-PL"/>
              </w:rPr>
            </w:pPr>
            <w:r w:rsidRPr="00CB5B8E">
              <w:rPr>
                <w:rFonts w:ascii="Avenir Next LT Pro" w:eastAsia="Times New Roman" w:hAnsi="Avenir Next LT Pro" w:cs="Arial"/>
                <w:bCs/>
                <w:sz w:val="18"/>
                <w:szCs w:val="18"/>
                <w:lang w:eastAsia="pl-PL"/>
              </w:rPr>
              <w:t>Razem wartość netto ( suma poz. 1-14)</w:t>
            </w:r>
          </w:p>
          <w:p w14:paraId="4C2D042F" w14:textId="77777777" w:rsidR="00CB5B8E" w:rsidRPr="00CB5B8E" w:rsidRDefault="00CB5B8E" w:rsidP="00CB5B8E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</w:p>
        </w:tc>
        <w:tc>
          <w:tcPr>
            <w:tcW w:w="169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vAlign w:val="center"/>
            <w:hideMark/>
          </w:tcPr>
          <w:p w14:paraId="0ECDFBA5" w14:textId="6C34E2FA" w:rsidR="00CB5B8E" w:rsidRPr="00CB5B8E" w:rsidRDefault="00CB5B8E" w:rsidP="00CB5B8E">
            <w:pPr>
              <w:spacing w:after="0" w:line="240" w:lineRule="auto"/>
              <w:jc w:val="right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CB5B8E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………………..zł </w:t>
            </w:r>
          </w:p>
        </w:tc>
      </w:tr>
      <w:tr w:rsidR="00CB5B8E" w:rsidRPr="00CB5B8E" w14:paraId="57BB0442" w14:textId="77777777" w:rsidTr="00CB5B8E">
        <w:tc>
          <w:tcPr>
            <w:tcW w:w="7363" w:type="dxa"/>
            <w:gridSpan w:val="3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vAlign w:val="center"/>
          </w:tcPr>
          <w:p w14:paraId="5E612B9F" w14:textId="41526F12" w:rsidR="00CB5B8E" w:rsidRPr="00CB5B8E" w:rsidRDefault="00CB5B8E" w:rsidP="00CB5B8E">
            <w:pPr>
              <w:spacing w:after="0" w:line="240" w:lineRule="auto"/>
              <w:jc w:val="right"/>
              <w:rPr>
                <w:rFonts w:ascii="Avenir Next LT Pro" w:eastAsia="Times New Roman" w:hAnsi="Avenir Next LT Pro" w:cs="Arial"/>
                <w:bCs/>
                <w:sz w:val="18"/>
                <w:szCs w:val="18"/>
                <w:lang w:eastAsia="pl-PL"/>
              </w:rPr>
            </w:pPr>
            <w:r w:rsidRPr="00CB5B8E">
              <w:rPr>
                <w:rFonts w:ascii="Avenir Next LT Pro" w:eastAsia="Times New Roman" w:hAnsi="Avenir Next LT Pro" w:cs="Arial"/>
                <w:bCs/>
                <w:sz w:val="18"/>
                <w:szCs w:val="18"/>
                <w:lang w:eastAsia="pl-PL"/>
              </w:rPr>
              <w:t>Podatek VAT 23%</w:t>
            </w:r>
          </w:p>
        </w:tc>
        <w:tc>
          <w:tcPr>
            <w:tcW w:w="169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vAlign w:val="center"/>
          </w:tcPr>
          <w:p w14:paraId="50D35D9C" w14:textId="6FC99E43" w:rsidR="00CB5B8E" w:rsidRPr="00CB5B8E" w:rsidRDefault="00CB5B8E" w:rsidP="00CB5B8E">
            <w:pPr>
              <w:spacing w:after="0" w:line="240" w:lineRule="auto"/>
              <w:jc w:val="right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CB5B8E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……..…………zł </w:t>
            </w:r>
          </w:p>
        </w:tc>
      </w:tr>
      <w:tr w:rsidR="00CB5B8E" w:rsidRPr="00CB5B8E" w14:paraId="661B0658" w14:textId="77777777" w:rsidTr="00CB5B8E">
        <w:tc>
          <w:tcPr>
            <w:tcW w:w="7363" w:type="dxa"/>
            <w:gridSpan w:val="3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vAlign w:val="center"/>
          </w:tcPr>
          <w:p w14:paraId="5186C730" w14:textId="1028A5A3" w:rsidR="00CB5B8E" w:rsidRPr="00CB5B8E" w:rsidRDefault="00CB5B8E" w:rsidP="00ED730B">
            <w:pPr>
              <w:spacing w:after="0" w:line="240" w:lineRule="auto"/>
              <w:jc w:val="right"/>
              <w:rPr>
                <w:rFonts w:ascii="Avenir Next LT Pro" w:eastAsia="Times New Roman" w:hAnsi="Avenir Next LT Pro" w:cs="Arial"/>
                <w:bCs/>
                <w:sz w:val="18"/>
                <w:szCs w:val="18"/>
                <w:lang w:eastAsia="pl-PL"/>
              </w:rPr>
            </w:pPr>
            <w:r w:rsidRPr="00CB5B8E">
              <w:rPr>
                <w:rFonts w:ascii="Avenir Next LT Pro" w:eastAsia="Times New Roman" w:hAnsi="Avenir Next LT Pro" w:cs="Arial"/>
                <w:bCs/>
                <w:sz w:val="18"/>
                <w:szCs w:val="18"/>
                <w:lang w:eastAsia="pl-PL"/>
              </w:rPr>
              <w:t>Cena</w:t>
            </w:r>
            <w:r w:rsidR="00ED730B">
              <w:rPr>
                <w:rFonts w:ascii="Avenir Next LT Pro" w:eastAsia="Times New Roman" w:hAnsi="Avenir Next LT Pro" w:cs="Arial"/>
                <w:bCs/>
                <w:sz w:val="18"/>
                <w:szCs w:val="18"/>
                <w:lang w:eastAsia="pl-PL"/>
              </w:rPr>
              <w:t xml:space="preserve"> ofertowa</w:t>
            </w:r>
            <w:r w:rsidRPr="00CB5B8E">
              <w:rPr>
                <w:rFonts w:ascii="Avenir Next LT Pro" w:eastAsia="Times New Roman" w:hAnsi="Avenir Next LT Pro" w:cs="Arial"/>
                <w:bCs/>
                <w:sz w:val="18"/>
                <w:szCs w:val="18"/>
                <w:lang w:eastAsia="pl-PL"/>
              </w:rPr>
              <w:t xml:space="preserve"> brutto: suma </w:t>
            </w:r>
            <w:r w:rsidRPr="00CB5B8E">
              <w:rPr>
                <w:rFonts w:ascii="Avenir Next LT Pro" w:eastAsia="Times New Roman" w:hAnsi="Avenir Next LT Pro" w:cs="Arial"/>
                <w:bCs/>
                <w:sz w:val="18"/>
                <w:szCs w:val="18"/>
                <w:lang w:eastAsia="pl-PL"/>
              </w:rPr>
              <w:t>wartoś</w:t>
            </w:r>
            <w:r w:rsidRPr="00CB5B8E">
              <w:rPr>
                <w:rFonts w:ascii="Avenir Next LT Pro" w:eastAsia="Times New Roman" w:hAnsi="Avenir Next LT Pro" w:cs="Arial"/>
                <w:bCs/>
                <w:sz w:val="18"/>
                <w:szCs w:val="18"/>
                <w:lang w:eastAsia="pl-PL"/>
              </w:rPr>
              <w:t>ci</w:t>
            </w:r>
            <w:r w:rsidRPr="00CB5B8E">
              <w:rPr>
                <w:rFonts w:ascii="Avenir Next LT Pro" w:eastAsia="Times New Roman" w:hAnsi="Avenir Next LT Pro" w:cs="Arial"/>
                <w:bCs/>
                <w:sz w:val="18"/>
                <w:szCs w:val="18"/>
                <w:lang w:eastAsia="pl-PL"/>
              </w:rPr>
              <w:t xml:space="preserve"> netto </w:t>
            </w:r>
            <w:r w:rsidRPr="00CB5B8E">
              <w:rPr>
                <w:rFonts w:ascii="Avenir Next LT Pro" w:eastAsia="Times New Roman" w:hAnsi="Avenir Next LT Pro" w:cs="Arial"/>
                <w:bCs/>
                <w:sz w:val="18"/>
                <w:szCs w:val="18"/>
                <w:lang w:eastAsia="pl-PL"/>
              </w:rPr>
              <w:t>i podatku VAT</w:t>
            </w:r>
          </w:p>
        </w:tc>
        <w:tc>
          <w:tcPr>
            <w:tcW w:w="169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vAlign w:val="center"/>
          </w:tcPr>
          <w:p w14:paraId="3A944B56" w14:textId="5CF93951" w:rsidR="00CB5B8E" w:rsidRPr="00CB5B8E" w:rsidRDefault="00CB5B8E" w:rsidP="00CB5B8E">
            <w:pPr>
              <w:spacing w:after="0" w:line="240" w:lineRule="auto"/>
              <w:jc w:val="right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CB5B8E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………………zł</w:t>
            </w:r>
          </w:p>
        </w:tc>
      </w:tr>
    </w:tbl>
    <w:p w14:paraId="7B7C9718" w14:textId="51926F3F" w:rsidR="007E627D" w:rsidRPr="00CB5B8E" w:rsidRDefault="00CB5B8E" w:rsidP="007E627D">
      <w:pPr>
        <w:rPr>
          <w:rFonts w:ascii="Avenir Next LT Pro" w:hAnsi="Avenir Next LT Pro" w:cs="Arial"/>
        </w:rPr>
      </w:pPr>
      <w:r w:rsidRPr="00CB5B8E">
        <w:rPr>
          <w:rFonts w:ascii="Avenir Next LT Pro" w:hAnsi="Avenir Next LT Pro" w:cs="Arial"/>
        </w:rPr>
        <w:br w:type="textWrapping" w:clear="all"/>
      </w:r>
    </w:p>
    <w:p w14:paraId="4BA2AB4B" w14:textId="77777777" w:rsidR="009D6F44" w:rsidRPr="00CB5B8E" w:rsidRDefault="009D6F44" w:rsidP="009D6F44">
      <w:pPr>
        <w:spacing w:after="0" w:line="240" w:lineRule="auto"/>
        <w:rPr>
          <w:rFonts w:ascii="Avenir Next LT Pro" w:eastAsia="Times New Roman" w:hAnsi="Avenir Next LT Pro" w:cs="Tahoma"/>
          <w:lang w:eastAsia="pl-PL"/>
        </w:rPr>
      </w:pPr>
    </w:p>
    <w:p w14:paraId="3A922FA4" w14:textId="77777777" w:rsidR="009D6F44" w:rsidRPr="00CB5B8E" w:rsidRDefault="009D6F44" w:rsidP="009D6F44">
      <w:pPr>
        <w:tabs>
          <w:tab w:val="left" w:pos="4536"/>
          <w:tab w:val="left" w:pos="4820"/>
        </w:tabs>
        <w:spacing w:after="0" w:line="240" w:lineRule="auto"/>
        <w:rPr>
          <w:rFonts w:ascii="Avenir Next LT Pro" w:eastAsia="Times New Roman" w:hAnsi="Avenir Next LT Pro" w:cs="Tahoma"/>
          <w:sz w:val="16"/>
          <w:szCs w:val="16"/>
          <w:lang w:eastAsia="pl-PL"/>
        </w:rPr>
      </w:pPr>
      <w:r w:rsidRPr="00CB5B8E">
        <w:rPr>
          <w:rFonts w:ascii="Avenir Next LT Pro" w:eastAsia="Times New Roman" w:hAnsi="Avenir Next LT Pro" w:cs="Tahoma"/>
          <w:sz w:val="16"/>
          <w:szCs w:val="16"/>
          <w:lang w:eastAsia="pl-PL"/>
        </w:rPr>
        <w:t xml:space="preserve">..............................................., dnia .....................................        </w:t>
      </w:r>
      <w:r w:rsidRPr="00CB5B8E">
        <w:rPr>
          <w:rFonts w:ascii="Avenir Next LT Pro" w:eastAsia="Times New Roman" w:hAnsi="Avenir Next LT Pro" w:cs="Tahoma"/>
          <w:sz w:val="16"/>
          <w:szCs w:val="16"/>
          <w:lang w:eastAsia="pl-PL"/>
        </w:rPr>
        <w:tab/>
      </w:r>
      <w:r w:rsidRPr="00CB5B8E">
        <w:rPr>
          <w:rFonts w:ascii="Avenir Next LT Pro" w:eastAsia="Times New Roman" w:hAnsi="Avenir Next LT Pro" w:cs="Tahoma"/>
          <w:sz w:val="16"/>
          <w:szCs w:val="16"/>
          <w:lang w:eastAsia="pl-PL"/>
        </w:rPr>
        <w:tab/>
      </w:r>
      <w:r w:rsidRPr="00CB5B8E">
        <w:rPr>
          <w:rFonts w:ascii="Avenir Next LT Pro" w:eastAsia="Times New Roman" w:hAnsi="Avenir Next LT Pro" w:cs="Tahoma"/>
          <w:sz w:val="16"/>
          <w:szCs w:val="16"/>
          <w:lang w:eastAsia="pl-PL"/>
        </w:rPr>
        <w:tab/>
        <w:t>...............................................................................................</w:t>
      </w:r>
    </w:p>
    <w:p w14:paraId="153A86CA" w14:textId="77777777" w:rsidR="009D6F44" w:rsidRPr="00CB5B8E" w:rsidRDefault="009D6F44" w:rsidP="009D6F44">
      <w:pPr>
        <w:tabs>
          <w:tab w:val="left" w:pos="3544"/>
        </w:tabs>
        <w:spacing w:after="0" w:line="240" w:lineRule="auto"/>
        <w:ind w:left="4950" w:hanging="4950"/>
        <w:rPr>
          <w:rFonts w:ascii="Avenir Next LT Pro" w:eastAsia="Times New Roman" w:hAnsi="Avenir Next LT Pro" w:cs="Tahoma"/>
          <w:i/>
          <w:iCs/>
          <w:sz w:val="18"/>
          <w:szCs w:val="18"/>
          <w:lang w:eastAsia="pl-PL"/>
        </w:rPr>
      </w:pPr>
      <w:r w:rsidRPr="00CB5B8E">
        <w:rPr>
          <w:rFonts w:ascii="Avenir Next LT Pro" w:eastAsia="Times New Roman" w:hAnsi="Avenir Next LT Pro" w:cs="Tahoma"/>
          <w:sz w:val="16"/>
          <w:szCs w:val="16"/>
          <w:lang w:eastAsia="pl-PL"/>
        </w:rPr>
        <w:t xml:space="preserve">       </w:t>
      </w:r>
      <w:r w:rsidRPr="00CB5B8E">
        <w:rPr>
          <w:rFonts w:ascii="Avenir Next LT Pro" w:eastAsia="Times New Roman" w:hAnsi="Avenir Next LT Pro" w:cs="Tahoma"/>
          <w:i/>
          <w:sz w:val="16"/>
          <w:szCs w:val="16"/>
          <w:lang w:eastAsia="pl-PL"/>
        </w:rPr>
        <w:t>miejscowość</w:t>
      </w:r>
      <w:r w:rsidRPr="00CB5B8E">
        <w:rPr>
          <w:rFonts w:ascii="Avenir Next LT Pro" w:eastAsia="Times New Roman" w:hAnsi="Avenir Next LT Pro" w:cs="Tahoma"/>
          <w:sz w:val="16"/>
          <w:szCs w:val="16"/>
          <w:lang w:eastAsia="pl-PL"/>
        </w:rPr>
        <w:tab/>
      </w:r>
      <w:r w:rsidRPr="00CB5B8E">
        <w:rPr>
          <w:rFonts w:ascii="Avenir Next LT Pro" w:eastAsia="Times New Roman" w:hAnsi="Avenir Next LT Pro" w:cs="Tahoma"/>
          <w:sz w:val="16"/>
          <w:szCs w:val="16"/>
          <w:lang w:eastAsia="pl-PL"/>
        </w:rPr>
        <w:tab/>
      </w:r>
      <w:r w:rsidRPr="00CB5B8E">
        <w:rPr>
          <w:rFonts w:ascii="Avenir Next LT Pro" w:eastAsia="Times New Roman" w:hAnsi="Avenir Next LT Pro" w:cs="Tahoma"/>
          <w:i/>
          <w:iCs/>
          <w:sz w:val="18"/>
          <w:szCs w:val="18"/>
          <w:lang w:eastAsia="pl-PL"/>
        </w:rPr>
        <w:tab/>
        <w:t xml:space="preserve">podpis </w:t>
      </w:r>
      <w:r w:rsidRPr="00CB5B8E">
        <w:rPr>
          <w:rFonts w:ascii="Avenir Next LT Pro" w:eastAsia="Times New Roman" w:hAnsi="Avenir Next LT Pro" w:cs="Arial"/>
          <w:i/>
          <w:iCs/>
          <w:sz w:val="18"/>
          <w:szCs w:val="18"/>
          <w:lang w:eastAsia="pl-PL"/>
        </w:rPr>
        <w:t>osoby uprawnionej do reprezentowania Wykonawcy</w:t>
      </w:r>
    </w:p>
    <w:p w14:paraId="338D187C" w14:textId="77777777" w:rsidR="00A141FD" w:rsidRPr="00CB5B8E" w:rsidRDefault="00A141FD">
      <w:pPr>
        <w:rPr>
          <w:rFonts w:ascii="Avenir Next LT Pro" w:hAnsi="Avenir Next LT Pro"/>
        </w:rPr>
      </w:pPr>
    </w:p>
    <w:sectPr w:rsidR="00A141FD" w:rsidRPr="00CB5B8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D4F536" w14:textId="77777777" w:rsidR="009D6F44" w:rsidRDefault="009D6F44" w:rsidP="009D6F44">
      <w:pPr>
        <w:spacing w:after="0" w:line="240" w:lineRule="auto"/>
      </w:pPr>
      <w:r>
        <w:separator/>
      </w:r>
    </w:p>
  </w:endnote>
  <w:endnote w:type="continuationSeparator" w:id="0">
    <w:p w14:paraId="5C51B80E" w14:textId="77777777" w:rsidR="009D6F44" w:rsidRDefault="009D6F44" w:rsidP="009D6F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venir Next LT Pro">
    <w:charset w:val="EE"/>
    <w:family w:val="swiss"/>
    <w:pitch w:val="variable"/>
    <w:sig w:usb0="800000EF" w:usb1="5000204A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56E72" w14:textId="77777777" w:rsidR="009D6F44" w:rsidRDefault="009D6F44" w:rsidP="009D6F44">
      <w:pPr>
        <w:spacing w:after="0" w:line="240" w:lineRule="auto"/>
      </w:pPr>
      <w:r>
        <w:separator/>
      </w:r>
    </w:p>
  </w:footnote>
  <w:footnote w:type="continuationSeparator" w:id="0">
    <w:p w14:paraId="2E394948" w14:textId="77777777" w:rsidR="009D6F44" w:rsidRDefault="009D6F44" w:rsidP="009D6F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6116C" w14:textId="18F30C7C" w:rsidR="009D6F44" w:rsidRPr="00CB5B8E" w:rsidRDefault="009D6F44" w:rsidP="00CB5B8E">
    <w:pPr>
      <w:spacing w:after="0" w:line="240" w:lineRule="auto"/>
      <w:jc w:val="right"/>
      <w:outlineLvl w:val="1"/>
      <w:rPr>
        <w:sz w:val="18"/>
        <w:szCs w:val="18"/>
      </w:rPr>
    </w:pPr>
    <w:r w:rsidRPr="00CB5B8E">
      <w:rPr>
        <w:rFonts w:ascii="Avenir Next LT Pro" w:eastAsia="Times New Roman" w:hAnsi="Avenir Next LT Pro" w:cs="Arial"/>
        <w:bCs/>
        <w:i/>
        <w:iCs/>
        <w:sz w:val="18"/>
        <w:szCs w:val="18"/>
        <w:lang w:eastAsia="pl-PL"/>
      </w:rPr>
      <w:t xml:space="preserve">Załącznik Nr </w:t>
    </w:r>
    <w:r w:rsidRPr="00CB5B8E">
      <w:rPr>
        <w:rFonts w:ascii="Avenir Next LT Pro" w:eastAsia="Times New Roman" w:hAnsi="Avenir Next LT Pro" w:cs="Arial"/>
        <w:bCs/>
        <w:i/>
        <w:iCs/>
        <w:sz w:val="18"/>
        <w:szCs w:val="18"/>
        <w:lang w:eastAsia="pl-PL"/>
      </w:rPr>
      <w:t>2</w:t>
    </w:r>
    <w:r w:rsidRPr="00CB5B8E">
      <w:rPr>
        <w:rFonts w:ascii="Avenir Next LT Pro" w:eastAsia="Times New Roman" w:hAnsi="Avenir Next LT Pro" w:cs="Arial"/>
        <w:bCs/>
        <w:i/>
        <w:iCs/>
        <w:sz w:val="18"/>
        <w:szCs w:val="18"/>
        <w:lang w:eastAsia="pl-PL"/>
      </w:rPr>
      <w:t xml:space="preserve"> do OPZ</w:t>
    </w:r>
    <w:r w:rsidR="00CB5B8E">
      <w:rPr>
        <w:rFonts w:ascii="Avenir Next LT Pro" w:eastAsia="Times New Roman" w:hAnsi="Avenir Next LT Pro" w:cs="Arial"/>
        <w:bCs/>
        <w:i/>
        <w:iCs/>
        <w:sz w:val="18"/>
        <w:szCs w:val="18"/>
        <w:lang w:eastAsia="pl-PL"/>
      </w:rPr>
      <w:t xml:space="preserve"> </w:t>
    </w:r>
    <w:r w:rsidRPr="00CB5B8E">
      <w:rPr>
        <w:rFonts w:ascii="Avenir Next LT Pro" w:eastAsia="Times New Roman" w:hAnsi="Avenir Next LT Pro" w:cs="Arial"/>
        <w:bCs/>
        <w:i/>
        <w:iCs/>
        <w:sz w:val="18"/>
        <w:szCs w:val="18"/>
        <w:lang w:eastAsia="pl-PL"/>
      </w:rPr>
      <w:t>- Kalkulacja ceny oferty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27D"/>
    <w:rsid w:val="00003335"/>
    <w:rsid w:val="001B707E"/>
    <w:rsid w:val="001F798B"/>
    <w:rsid w:val="00597F31"/>
    <w:rsid w:val="00760766"/>
    <w:rsid w:val="007E627D"/>
    <w:rsid w:val="009D6F44"/>
    <w:rsid w:val="00A141FD"/>
    <w:rsid w:val="00B41650"/>
    <w:rsid w:val="00B766B5"/>
    <w:rsid w:val="00CB5B8E"/>
    <w:rsid w:val="00ED730B"/>
    <w:rsid w:val="00EE5625"/>
    <w:rsid w:val="00FC4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60242"/>
  <w15:chartTrackingRefBased/>
  <w15:docId w15:val="{AE1FDA96-C365-4DAA-853C-C8F7F612C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627D"/>
    <w:pPr>
      <w:spacing w:line="259" w:lineRule="auto"/>
      <w:jc w:val="left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B41650"/>
    <w:pPr>
      <w:keepNext/>
      <w:keepLines/>
      <w:spacing w:before="320" w:after="40" w:line="252" w:lineRule="auto"/>
      <w:jc w:val="both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41650"/>
    <w:pPr>
      <w:keepNext/>
      <w:keepLines/>
      <w:spacing w:before="120" w:after="0" w:line="252" w:lineRule="auto"/>
      <w:jc w:val="both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41650"/>
    <w:pPr>
      <w:keepNext/>
      <w:keepLines/>
      <w:spacing w:before="120" w:after="0" w:line="252" w:lineRule="auto"/>
      <w:jc w:val="both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41650"/>
    <w:pPr>
      <w:keepNext/>
      <w:keepLines/>
      <w:spacing w:before="120" w:after="0" w:line="252" w:lineRule="auto"/>
      <w:jc w:val="both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41650"/>
    <w:pPr>
      <w:keepNext/>
      <w:keepLines/>
      <w:spacing w:before="120" w:after="0" w:line="252" w:lineRule="auto"/>
      <w:jc w:val="both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41650"/>
    <w:pPr>
      <w:keepNext/>
      <w:keepLines/>
      <w:spacing w:before="120" w:after="0" w:line="252" w:lineRule="auto"/>
      <w:jc w:val="both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41650"/>
    <w:pPr>
      <w:keepNext/>
      <w:keepLines/>
      <w:spacing w:before="120" w:after="0" w:line="252" w:lineRule="auto"/>
      <w:jc w:val="both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41650"/>
    <w:pPr>
      <w:keepNext/>
      <w:keepLines/>
      <w:spacing w:before="120" w:after="0" w:line="252" w:lineRule="auto"/>
      <w:jc w:val="both"/>
      <w:outlineLvl w:val="7"/>
    </w:pPr>
    <w:rPr>
      <w:b/>
      <w:b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41650"/>
    <w:pPr>
      <w:keepNext/>
      <w:keepLines/>
      <w:spacing w:before="120" w:after="0" w:line="252" w:lineRule="auto"/>
      <w:jc w:val="both"/>
      <w:outlineLvl w:val="8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41650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41650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41650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41650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41650"/>
    <w:rPr>
      <w:rFonts w:asciiTheme="majorHAnsi" w:eastAsiaTheme="majorEastAsia" w:hAnsiTheme="majorHAnsi" w:cstheme="majorBidi"/>
      <w:b/>
      <w:bCs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41650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41650"/>
    <w:rPr>
      <w:i/>
      <w:iCs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41650"/>
    <w:rPr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41650"/>
    <w:rPr>
      <w:i/>
      <w:iCs/>
    </w:rPr>
  </w:style>
  <w:style w:type="paragraph" w:styleId="Tytu">
    <w:name w:val="Title"/>
    <w:basedOn w:val="Normalny"/>
    <w:next w:val="Normalny"/>
    <w:link w:val="TytuZnak"/>
    <w:uiPriority w:val="10"/>
    <w:qFormat/>
    <w:rsid w:val="00B41650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ytuZnak">
    <w:name w:val="Tytuł Znak"/>
    <w:basedOn w:val="Domylnaczcionkaakapitu"/>
    <w:link w:val="Tytu"/>
    <w:uiPriority w:val="10"/>
    <w:rsid w:val="00B41650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41650"/>
    <w:pPr>
      <w:numPr>
        <w:ilvl w:val="1"/>
      </w:numPr>
      <w:spacing w:after="240" w:line="252" w:lineRule="auto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B41650"/>
    <w:rPr>
      <w:rFonts w:asciiTheme="majorHAnsi" w:eastAsiaTheme="majorEastAsia" w:hAnsiTheme="majorHAnsi" w:cstheme="majorBidi"/>
      <w:sz w:val="24"/>
      <w:szCs w:val="24"/>
    </w:rPr>
  </w:style>
  <w:style w:type="paragraph" w:styleId="Akapitzlist">
    <w:name w:val="List Paragraph"/>
    <w:basedOn w:val="Normalny"/>
    <w:uiPriority w:val="34"/>
    <w:qFormat/>
    <w:rsid w:val="00B41650"/>
    <w:pPr>
      <w:spacing w:line="252" w:lineRule="auto"/>
      <w:ind w:left="720"/>
      <w:contextualSpacing/>
      <w:jc w:val="both"/>
    </w:pPr>
  </w:style>
  <w:style w:type="paragraph" w:styleId="Cytat">
    <w:name w:val="Quote"/>
    <w:basedOn w:val="Normalny"/>
    <w:next w:val="Normalny"/>
    <w:link w:val="CytatZnak"/>
    <w:uiPriority w:val="29"/>
    <w:qFormat/>
    <w:rsid w:val="00B41650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B41650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41650"/>
    <w:pPr>
      <w:spacing w:before="100" w:beforeAutospacing="1" w:after="240" w:line="252" w:lineRule="auto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41650"/>
    <w:rPr>
      <w:rFonts w:asciiTheme="majorHAnsi" w:eastAsiaTheme="majorEastAsia" w:hAnsiTheme="majorHAnsi" w:cstheme="majorBidi"/>
      <w:sz w:val="26"/>
      <w:szCs w:val="26"/>
    </w:rPr>
  </w:style>
  <w:style w:type="character" w:styleId="Wyrnienieintensywne">
    <w:name w:val="Intense Emphasis"/>
    <w:basedOn w:val="Domylnaczcionkaakapitu"/>
    <w:uiPriority w:val="21"/>
    <w:qFormat/>
    <w:rsid w:val="00B41650"/>
    <w:rPr>
      <w:b/>
      <w:bCs/>
      <w:i/>
      <w:iCs/>
      <w:color w:val="auto"/>
    </w:rPr>
  </w:style>
  <w:style w:type="character" w:styleId="Odwoanieintensywne">
    <w:name w:val="Intense Reference"/>
    <w:basedOn w:val="Domylnaczcionkaakapitu"/>
    <w:uiPriority w:val="32"/>
    <w:qFormat/>
    <w:rsid w:val="00B41650"/>
    <w:rPr>
      <w:b/>
      <w:bCs/>
      <w:smallCaps/>
      <w:color w:val="auto"/>
      <w:u w:val="single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B41650"/>
    <w:pPr>
      <w:spacing w:line="252" w:lineRule="auto"/>
      <w:jc w:val="both"/>
    </w:pPr>
    <w:rPr>
      <w:b/>
      <w:bCs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B41650"/>
    <w:rPr>
      <w:b/>
      <w:bCs/>
      <w:color w:val="auto"/>
    </w:rPr>
  </w:style>
  <w:style w:type="character" w:styleId="Uwydatnienie">
    <w:name w:val="Emphasis"/>
    <w:basedOn w:val="Domylnaczcionkaakapitu"/>
    <w:uiPriority w:val="20"/>
    <w:qFormat/>
    <w:rsid w:val="00B41650"/>
    <w:rPr>
      <w:i/>
      <w:iCs/>
      <w:color w:val="auto"/>
    </w:rPr>
  </w:style>
  <w:style w:type="paragraph" w:styleId="Bezodstpw">
    <w:name w:val="No Spacing"/>
    <w:uiPriority w:val="1"/>
    <w:qFormat/>
    <w:rsid w:val="00B41650"/>
    <w:pPr>
      <w:spacing w:after="0" w:line="240" w:lineRule="auto"/>
    </w:pPr>
  </w:style>
  <w:style w:type="character" w:styleId="Wyrnieniedelikatne">
    <w:name w:val="Subtle Emphasis"/>
    <w:basedOn w:val="Domylnaczcionkaakapitu"/>
    <w:uiPriority w:val="19"/>
    <w:qFormat/>
    <w:rsid w:val="00B41650"/>
    <w:rPr>
      <w:i/>
      <w:iCs/>
      <w:color w:val="auto"/>
    </w:rPr>
  </w:style>
  <w:style w:type="character" w:styleId="Odwoaniedelikatne">
    <w:name w:val="Subtle Reference"/>
    <w:basedOn w:val="Domylnaczcionkaakapitu"/>
    <w:uiPriority w:val="31"/>
    <w:qFormat/>
    <w:rsid w:val="00B41650"/>
    <w:rPr>
      <w:smallCaps/>
      <w:color w:val="auto"/>
      <w:u w:val="single" w:color="7F7F7F" w:themeColor="text1" w:themeTint="80"/>
    </w:rPr>
  </w:style>
  <w:style w:type="character" w:styleId="Tytuksiki">
    <w:name w:val="Book Title"/>
    <w:basedOn w:val="Domylnaczcionkaakapitu"/>
    <w:uiPriority w:val="33"/>
    <w:qFormat/>
    <w:rsid w:val="00B41650"/>
    <w:rPr>
      <w:b/>
      <w:bCs/>
      <w:smallCaps/>
      <w:color w:val="auto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41650"/>
    <w:pPr>
      <w:outlineLvl w:val="9"/>
    </w:pPr>
  </w:style>
  <w:style w:type="paragraph" w:styleId="Nagwek">
    <w:name w:val="header"/>
    <w:basedOn w:val="Normalny"/>
    <w:link w:val="NagwekZnak"/>
    <w:uiPriority w:val="99"/>
    <w:unhideWhenUsed/>
    <w:rsid w:val="009D6F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6F44"/>
  </w:style>
  <w:style w:type="paragraph" w:styleId="Stopka">
    <w:name w:val="footer"/>
    <w:basedOn w:val="Normalny"/>
    <w:link w:val="StopkaZnak"/>
    <w:uiPriority w:val="99"/>
    <w:unhideWhenUsed/>
    <w:rsid w:val="009D6F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6F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venir Next LT Pro">
      <a:majorFont>
        <a:latin typeface="Avenir Next LT Pro"/>
        <a:ea typeface=""/>
        <a:cs typeface=""/>
      </a:majorFont>
      <a:minorFont>
        <a:latin typeface="Avenir Next LT Pro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934</Words>
  <Characters>5610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Muzeum Zamoyskich w Kozłówce</Company>
  <LinksUpToDate>false</LinksUpToDate>
  <CharactersWithSpaces>6531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Staszek</dc:creator>
  <cp:keywords/>
  <dc:description/>
  <cp:lastModifiedBy>Agnieszka Staszek</cp:lastModifiedBy>
  <cp:revision>2</cp:revision>
  <dcterms:created xsi:type="dcterms:W3CDTF">2026-07-02T09:02:00Z</dcterms:created>
  <dcterms:modified xsi:type="dcterms:W3CDTF">2026-07-02T12:00:00Z</dcterms:modified>
</cp:coreProperties>
</file>