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2AAC6" w14:textId="50084361" w:rsidR="007E627D" w:rsidRPr="00CB5B8E" w:rsidRDefault="009D6F44" w:rsidP="009D6F44">
      <w:pPr>
        <w:spacing w:before="100" w:beforeAutospacing="1" w:after="100" w:afterAutospacing="1" w:line="240" w:lineRule="auto"/>
        <w:jc w:val="center"/>
        <w:outlineLvl w:val="2"/>
        <w:rPr>
          <w:rFonts w:ascii="Avenir Next LT Pro" w:eastAsia="Times New Roman" w:hAnsi="Avenir Next LT Pro" w:cs="Arial"/>
          <w:b/>
          <w:lang w:eastAsia="pl-PL"/>
        </w:rPr>
      </w:pPr>
      <w:r w:rsidRPr="00CB5B8E">
        <w:rPr>
          <w:rFonts w:ascii="Avenir Next LT Pro" w:eastAsia="Times New Roman" w:hAnsi="Avenir Next LT Pro" w:cs="Arial"/>
          <w:b/>
          <w:lang w:eastAsia="pl-PL"/>
        </w:rPr>
        <w:t xml:space="preserve">KALKULACJA CENY OFERTY  </w:t>
      </w:r>
    </w:p>
    <w:p w14:paraId="793D37AF" w14:textId="73EA28F1" w:rsidR="009D6F44" w:rsidRPr="00CB5B8E" w:rsidRDefault="009D6F44" w:rsidP="009D6F44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CB5B8E">
        <w:rPr>
          <w:rFonts w:ascii="Avenir Next LT Pro" w:eastAsia="Times New Roman" w:hAnsi="Avenir Next LT Pro" w:cs="Tahoma"/>
          <w:lang w:eastAsia="pl-PL"/>
        </w:rPr>
        <w:t xml:space="preserve">składana wraz z ofertą na </w:t>
      </w:r>
      <w:bookmarkStart w:id="0" w:name="_Hlk133314226"/>
      <w:r w:rsidRPr="00CB5B8E">
        <w:rPr>
          <w:rFonts w:ascii="Avenir Next LT Pro" w:hAnsi="Avenir Next LT Pro"/>
        </w:rPr>
        <w:t xml:space="preserve">wykonanie </w:t>
      </w:r>
      <w:bookmarkEnd w:id="0"/>
      <w:r w:rsidRPr="00CB5B8E">
        <w:rPr>
          <w:rFonts w:ascii="Avenir Next LT Pro" w:hAnsi="Avenir Next LT Pro"/>
        </w:rPr>
        <w:t xml:space="preserve">nowoczesnej strony internetowej </w:t>
      </w:r>
      <w:r w:rsidRPr="00CB5B8E">
        <w:rPr>
          <w:rFonts w:ascii="Avenir Next LT Pro" w:hAnsi="Avenir Next LT Pro"/>
        </w:rPr>
        <w:br/>
        <w:t>Muzeum Zamoyskich w Kozłówce</w:t>
      </w:r>
      <w:r w:rsidRPr="00CB5B8E">
        <w:rPr>
          <w:rFonts w:ascii="Avenir Next LT Pro" w:eastAsia="Times New Roman" w:hAnsi="Avenir Next LT Pro" w:cs="Tahoma"/>
          <w:bCs/>
          <w:lang w:eastAsia="pl-PL"/>
        </w:rPr>
        <w:t>,</w:t>
      </w:r>
      <w:r w:rsidRPr="00CB5B8E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3C8E2797" w14:textId="362B9C13" w:rsidR="009D6F44" w:rsidRPr="00CB5B8E" w:rsidRDefault="009D6F44" w:rsidP="009D6F44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CB5B8E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Pr="00CB5B8E">
        <w:rPr>
          <w:rFonts w:ascii="Avenir Next LT Pro" w:hAnsi="Avenir Next LT Pro" w:cs="Times New Roman"/>
          <w:b/>
          <w:bCs/>
        </w:rPr>
        <w:t>ADM</w:t>
      </w:r>
      <w:r w:rsidR="00D21AB3">
        <w:rPr>
          <w:rFonts w:ascii="Avenir Next LT Pro" w:hAnsi="Avenir Next LT Pro" w:cs="Times New Roman"/>
          <w:b/>
          <w:bCs/>
        </w:rPr>
        <w:t>.26.10.20</w:t>
      </w:r>
      <w:r w:rsidRPr="00CB5B8E">
        <w:rPr>
          <w:rFonts w:ascii="Avenir Next LT Pro" w:hAnsi="Avenir Next LT Pro" w:cs="Times New Roman"/>
          <w:b/>
          <w:bCs/>
        </w:rPr>
        <w:t>26</w:t>
      </w:r>
    </w:p>
    <w:p w14:paraId="34919ECD" w14:textId="77777777" w:rsidR="009D6F44" w:rsidRPr="00CB5B8E" w:rsidRDefault="009D6F44" w:rsidP="009D6F44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CB5B8E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1C0401B1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CB5B8E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60C1B56C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0259CD13" w14:textId="77777777" w:rsidR="009D6F44" w:rsidRPr="00CB5B8E" w:rsidRDefault="009D6F44" w:rsidP="009D6F44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4A1D0767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CB5B8E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56B1C86B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CB5B8E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CB5B8E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7D3876E5" w14:textId="77777777" w:rsidR="009D6F44" w:rsidRPr="00CB5B8E" w:rsidRDefault="009D6F44" w:rsidP="009D6F44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158"/>
        <w:gridCol w:w="4567"/>
        <w:gridCol w:w="1691"/>
      </w:tblGrid>
      <w:tr w:rsidR="00CB5B8E" w:rsidRPr="00CB5B8E" w14:paraId="67115EA7" w14:textId="77777777" w:rsidTr="00CB5B8E">
        <w:trPr>
          <w:tblHeader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70E49C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A31BEB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Element zamówienia / część składowa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16F829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Szczegółowy zakres (zgodnie z opz)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  <w:hideMark/>
          </w:tcPr>
          <w:p w14:paraId="0B3AC710" w14:textId="5A55D3D5" w:rsidR="00CB5B8E" w:rsidRPr="00CB5B8E" w:rsidRDefault="00CB5B8E" w:rsidP="00CB5B8E">
            <w:pPr>
              <w:spacing w:after="0" w:line="240" w:lineRule="auto"/>
              <w:jc w:val="center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Wartość netto</w:t>
            </w:r>
          </w:p>
          <w:p w14:paraId="41F820DC" w14:textId="68F356CD" w:rsidR="00CB5B8E" w:rsidRPr="00CB5B8E" w:rsidRDefault="00CB5B8E" w:rsidP="00CB5B8E">
            <w:pPr>
              <w:spacing w:after="0" w:line="240" w:lineRule="auto"/>
              <w:jc w:val="center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 PLN</w:t>
            </w:r>
          </w:p>
        </w:tc>
      </w:tr>
      <w:tr w:rsidR="00CB5B8E" w:rsidRPr="00CB5B8E" w14:paraId="0BA8C038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069187E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ADD5BD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Projekt, wykonanie, wdrożenie Serwisu i systemu CMS wraz z SEO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919E8B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wykonanie nowoczesnego serwisu z bezkodowym zarządzaniem (w tym menu drag-and-drop), automatyzacją i optymalizacją multimediów (WebP/AVIF, MP4/WebM, sRGB), ścieżką uprawnień Workflow, systemem wyskakujących alertów Pop-up oraz pełnym wdrożeniem SEO (przyjazne URL, sitemap.xml, robots.txt, dane ustrukturyzowane Schema.org dla instytucji kultury).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BDF96CB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2621D2D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3E2C8F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E453E9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Pełna migracja danych ze starej strony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17E2469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Bezstratne przeniesienie wszystkich materiałów tekstowych, aktualności, artykułów, baz danych oraz multimediów z dotychczasowego serwisu Zamawiającego wraz z wdrożeniem przekierowań 301.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0803AF1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6F16FC0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905F0F0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3F8D36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Moduły Interaktywne (Komentarze, Ankiety, Newsletter)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BD2C0F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Wdrożenie kreatora dowolnych ankiet z eksportem danych, modułu komentarzy z panelem moderacji i integracją AI Guardrails oraz modułu Newslettera (Double Opt-In) z integracją z systemem wysyłkowym/SMTP (w tym koszty licencji/API na cały okres gwarancji).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087DB3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1480BED7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758D703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63D8C1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Responsywny moduł lokalizacji „Jak dojechać”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23548D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wdrożenie responsywnego modułu lokalizacji „Jak dojechać” (mapy interaktywnej) wraz z pełnym pokryciem kosztów kluczy API/licencji i integracją z modułem zgód RODO (Privacy by Default) przez cały okres gwarancji.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A15E1B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5945D6B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A25E8A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B5BA23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 Integracji z Mediami Społecznościowymi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56A02D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Kompleksowe wdrożenie systemu integracji z FB, Google, YT, Instagram oraz TikTok, obejmujące Social Login OAuth 2.0, widgety Social Feed, przyciski Social Sharing, optymalizację asynchronicznego ładowania odtwarzaczy wideo oraz pełne wdrożenie placeholderów i polityki prywatności RODO (Privacy by Design).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0A2EE15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14B603F0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7D097C7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85B993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Pakiety i Moduły Sztucznej Inteligencji (AI) wraz z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utrzymaniem i tokenami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D10B5D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Wirtualny Asystent (Czat AI PL/EN) z ciągłym trenowaniem RAG na danych Muzeum, zadawanie pytań głosowych (STT), system weryfikacji pytań (AI Guardrails), automatyczne tłumaczenia (na 3 języki),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automatyczna audiodeskrypcja (w tym TTS).</w:t>
            </w:r>
            <w:r w:rsidRPr="00CB5B8E">
              <w:rPr>
                <w:rFonts w:ascii="Avenir Next LT Pro" w:hAnsi="Avenir Next LT Pro"/>
              </w:rPr>
              <w:t xml:space="preserve">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Wykonawca kalkuluje cenę ryczałtową w oparciu o maksymalne pule miesięczne zdefiniowane w Sekcji IV pkt 9 OPZ. Do oferty należy dołączyć tabelę stawek jednostkowych za zużycie ponadlimitowe. 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9170F62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59644DFC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5C1BFCB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4E78BA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Moduł Mikropłatności i Crowdfundingu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1E5C61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Zaprojektowanie, wdrożenie i pełna integracja mechanizmu współfinansowania treści („Postaw kawę”) z bramkami płatniczymi (PayU, P24, Tpay, Stripe)[cite: 1], Galerią Cyfrową oraz Social Media[cite: 1], a także zapewnienie pełnej, dwukierunkowej integracji i współpracy Serwisu z zewnętrznym systemem rezerwacji i sprzedaży biletów IKSORIS (w tym obsługa dynamicznych stanów, deep-linking oraz prezentacja oferty sprzedażowej biletów/wydarzeń).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5848EB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446D117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810A34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1548F6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Katalog Cyfrowych Lekcji Muzealnych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40DDCF4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i wdrożenie interaktywnego repozytorium lekcji z wyszukiwaniem i filtrowaniem, responsywnym odtwarzaczem wideo zgodnym z WCAG 2.2 (napisy, audiodeskrypcja) oraz wprowadzeniem pierwszych 10 lekcji do pobrania.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8BF770C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6D95291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BD02F0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CA8166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Dostępność cyfrowa (WCAG 2.2 AA) i nagrania PJM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7711E0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Zapewnienie pełnej zgodności z wytycznymi WCAG 2.2 AA (w tym moduł płatności), wdrożenie natywnego przełącznika trybu wysokiego kontrastu, jednorazowy niezależny audyt zewnętrzny i uzyskanie certyfikatu WCAG oraz przygotowanie nagrań wideo z tłumaczem Polskiego Języka Migowego (PJM) do limitu 25 minut gotowego materiału.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2CA1505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3F3C52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E576EF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B48D85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Ochrona Danych (RODO), Cyberbezpieczeństwo i Szyfrowanie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4A1516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Rozwiązanie powinno wspierać realizację wymagań wynikających z Krajowych Ram Interoperacyjności (KRI) oraz Dyrektywy NIS2, w szczególności poprzez zastosowanie odpowiednich mechanizmów uwierzytelniania, szyfrowania, monitorowania oraz zarządzania dostępem. Zaawansowane i wydajne szyfrowanie bazy danych (TDE / Encryption at Rest z zarządzaniem KMS), szyfrowanie transmisji (TLS 1.3), mechanizmy pseudonimizacji i kryptograficznego haszowania zapytań AI w celu optymalizacji bazy wektorowej RAG. Wdrożenie mechanizmów RODO (anonimizacja, prawo do bycia zapomnianym). Kompleksowe opracowanie prawne dokumentów wraz z narzędziem do bezkodowej modyfikacji klauzul z poziomu CMS. System monitoringu i powiadamiania o błędach 24/7/365 oraz automatyczny backup.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75E9E81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33E2C5EF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9E05B8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F249133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Niezależne Testy Penetracyjne (Bezpieczeństwa)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8E34A16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Przeprowadzenie testów podatności przed produkcyjnym uruchomieniem Serwisu oraz cyklicznie minimum 1 raz w roku przez cały okres gwarancji przez niezależną instytucję zewnętrzną (łącznie minimum 4 testów w okresie 36 miesięcy).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9776176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2BC91ACE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1DD0220A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4B6A6A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Infrastruktura Hostingowa i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Certyfikat SSL (okres 36 miesięcy)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7E2470BD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Utrzymanie dwóch niezależnych środowisk (Produkcja i Staging) na terenie EOG z ochroną 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DDoS, brak limitów transferu danych, gwarancja wskaźników Core Web Vitals, bezkosztowe przeniesienie i utrzymanie pozostałych subdomen muzeum oraz zakup i odnawianie certyfikatu SSL o poziomie walidacji min. OV.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1E86720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3E7677A2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D16250E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5986A3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Wsparcie Techniczne, Otwartość API i Aktualizacje (okres 36 miesięcy)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332FC1E8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Świadczenie pełnej opieki technicznej i permanentnych, regularnych aktualizacji systemu CMS, frameworków, baz danych, wtyczek i modułów (w tym AI) do wersji stabilnych. 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Cena ryczałtowa obejmuje zaprojektowanie architektury w pełnym standardzie API-First oraz przygotowanie bazy danych, routingu i modułu AI do przyszłej, bezwtyczkowej i elastycznej wymiany danych z systemami zewnętrznymi zgodnie z Sekcją II OPZ.</w:t>
            </w: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0AD8E92F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7247E25C" w14:textId="77777777" w:rsidTr="00CB5B8E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1D8473C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1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4131AA47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Spotkania Projektowe, Szkolenia, Licencje i Wydanie Kodów</w:t>
            </w:r>
          </w:p>
        </w:tc>
        <w:tc>
          <w:tcPr>
            <w:tcW w:w="46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295E4BB2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Udział w stacjonarnych spotkaniach projektowych u Zamawiającego, przeprowadzenie kompleksowych szkoleń stacjonarnych dla pracowników wraz z dostarczeniem materiałów drukowanych i cyfrowych. Przekazanie pełnych praw autorskich majątkowych i zależnych, wydanie kompletnego niezaszyfrowanego kodu źródłowego oraz haseł root/db-admin oraz dostarczenie praw/licencji/subskrypcji do wszelkich ewentualnych technologii komercyjnych na okres gwarancji. 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643F7A68" w14:textId="77777777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</w:tr>
      <w:tr w:rsidR="00CB5B8E" w:rsidRPr="00CB5B8E" w14:paraId="0F3B92D4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14:paraId="58F1B802" w14:textId="61706964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Razem wartość netto ( suma poz. 1-14)</w:t>
            </w:r>
          </w:p>
          <w:p w14:paraId="4C2D042F" w14:textId="77777777" w:rsidR="00CB5B8E" w:rsidRPr="00CB5B8E" w:rsidRDefault="00CB5B8E" w:rsidP="00CB5B8E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  <w:hideMark/>
          </w:tcPr>
          <w:p w14:paraId="0ECDFBA5" w14:textId="6C34E2FA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………………..zł </w:t>
            </w:r>
          </w:p>
        </w:tc>
      </w:tr>
      <w:tr w:rsidR="00CB5B8E" w:rsidRPr="00CB5B8E" w14:paraId="57BB0442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E612B9F" w14:textId="41526F12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Podatek VAT 23%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0D35D9C" w14:textId="6FC99E43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……..…………zł </w:t>
            </w:r>
          </w:p>
        </w:tc>
      </w:tr>
      <w:tr w:rsidR="00CB5B8E" w:rsidRPr="00CB5B8E" w14:paraId="661B0658" w14:textId="77777777" w:rsidTr="00CB5B8E">
        <w:tc>
          <w:tcPr>
            <w:tcW w:w="7363" w:type="dxa"/>
            <w:gridSpan w:val="3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186C730" w14:textId="1028A5A3" w:rsidR="00CB5B8E" w:rsidRPr="00CB5B8E" w:rsidRDefault="00CB5B8E" w:rsidP="00ED730B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Cena</w:t>
            </w:r>
            <w:r w:rsidR="00ED730B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 ofertowa</w:t>
            </w:r>
            <w:r w:rsidRPr="00CB5B8E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 xml:space="preserve"> brutto: suma wartości netto i podatku VAT</w:t>
            </w:r>
          </w:p>
        </w:tc>
        <w:tc>
          <w:tcPr>
            <w:tcW w:w="169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A944B56" w14:textId="5CF93951" w:rsidR="00CB5B8E" w:rsidRPr="00CB5B8E" w:rsidRDefault="00CB5B8E" w:rsidP="00CB5B8E">
            <w:pPr>
              <w:spacing w:after="0" w:line="240" w:lineRule="auto"/>
              <w:jc w:val="right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CB5B8E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………………zł</w:t>
            </w:r>
          </w:p>
        </w:tc>
      </w:tr>
    </w:tbl>
    <w:p w14:paraId="7B7C9718" w14:textId="51926F3F" w:rsidR="007E627D" w:rsidRPr="00CB5B8E" w:rsidRDefault="00CB5B8E" w:rsidP="007E627D">
      <w:pPr>
        <w:rPr>
          <w:rFonts w:ascii="Avenir Next LT Pro" w:hAnsi="Avenir Next LT Pro" w:cs="Arial"/>
        </w:rPr>
      </w:pPr>
      <w:r w:rsidRPr="00CB5B8E">
        <w:rPr>
          <w:rFonts w:ascii="Avenir Next LT Pro" w:hAnsi="Avenir Next LT Pro" w:cs="Arial"/>
        </w:rPr>
        <w:br w:type="textWrapping" w:clear="all"/>
      </w:r>
    </w:p>
    <w:p w14:paraId="4BA2AB4B" w14:textId="77777777" w:rsidR="009D6F44" w:rsidRPr="00CB5B8E" w:rsidRDefault="009D6F44" w:rsidP="009D6F44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3A922FA4" w14:textId="77777777" w:rsidR="009D6F44" w:rsidRPr="00CB5B8E" w:rsidRDefault="009D6F44" w:rsidP="009D6F44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..............................................., dnia .....................................        </w:t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>...............................................................................................</w:t>
      </w:r>
    </w:p>
    <w:p w14:paraId="153A86CA" w14:textId="77777777" w:rsidR="009D6F44" w:rsidRPr="00CB5B8E" w:rsidRDefault="009D6F44" w:rsidP="009D6F44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</w:pP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CB5B8E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CB5B8E"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  <w:tab/>
        <w:t xml:space="preserve">podpis </w:t>
      </w:r>
      <w:r w:rsidRPr="00CB5B8E">
        <w:rPr>
          <w:rFonts w:ascii="Avenir Next LT Pro" w:eastAsia="Times New Roman" w:hAnsi="Avenir Next LT Pro" w:cs="Arial"/>
          <w:i/>
          <w:iCs/>
          <w:sz w:val="18"/>
          <w:szCs w:val="18"/>
          <w:lang w:eastAsia="pl-PL"/>
        </w:rPr>
        <w:t>osoby uprawnionej do reprezentowania Wykonawcy</w:t>
      </w:r>
    </w:p>
    <w:p w14:paraId="338D187C" w14:textId="77777777" w:rsidR="00A141FD" w:rsidRPr="00CB5B8E" w:rsidRDefault="00A141FD">
      <w:pPr>
        <w:rPr>
          <w:rFonts w:ascii="Avenir Next LT Pro" w:hAnsi="Avenir Next LT Pro"/>
        </w:rPr>
      </w:pPr>
    </w:p>
    <w:sectPr w:rsidR="00A141FD" w:rsidRPr="00CB5B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F536" w14:textId="77777777" w:rsidR="009D6F44" w:rsidRDefault="009D6F44" w:rsidP="009D6F44">
      <w:pPr>
        <w:spacing w:after="0" w:line="240" w:lineRule="auto"/>
      </w:pPr>
      <w:r>
        <w:separator/>
      </w:r>
    </w:p>
  </w:endnote>
  <w:endnote w:type="continuationSeparator" w:id="0">
    <w:p w14:paraId="5C51B80E" w14:textId="77777777" w:rsidR="009D6F44" w:rsidRDefault="009D6F44" w:rsidP="009D6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E72" w14:textId="77777777" w:rsidR="009D6F44" w:rsidRDefault="009D6F44" w:rsidP="009D6F44">
      <w:pPr>
        <w:spacing w:after="0" w:line="240" w:lineRule="auto"/>
      </w:pPr>
      <w:r>
        <w:separator/>
      </w:r>
    </w:p>
  </w:footnote>
  <w:footnote w:type="continuationSeparator" w:id="0">
    <w:p w14:paraId="2E394948" w14:textId="77777777" w:rsidR="009D6F44" w:rsidRDefault="009D6F44" w:rsidP="009D6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116C" w14:textId="18F30C7C" w:rsidR="009D6F44" w:rsidRPr="00CB5B8E" w:rsidRDefault="009D6F44" w:rsidP="00CB5B8E">
    <w:pPr>
      <w:spacing w:after="0" w:line="240" w:lineRule="auto"/>
      <w:jc w:val="right"/>
      <w:outlineLvl w:val="1"/>
      <w:rPr>
        <w:sz w:val="18"/>
        <w:szCs w:val="18"/>
      </w:rPr>
    </w:pP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Załącznik Nr 2 do OPZ</w:t>
    </w:r>
    <w:r w:rsid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 xml:space="preserve"> </w:t>
    </w:r>
    <w:r w:rsidRPr="00CB5B8E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- Kalkulacja ceny oferty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7D"/>
    <w:rsid w:val="00003335"/>
    <w:rsid w:val="001B707E"/>
    <w:rsid w:val="001F798B"/>
    <w:rsid w:val="00220809"/>
    <w:rsid w:val="00597F31"/>
    <w:rsid w:val="00760766"/>
    <w:rsid w:val="007D6167"/>
    <w:rsid w:val="007E627D"/>
    <w:rsid w:val="009D6F44"/>
    <w:rsid w:val="00A141FD"/>
    <w:rsid w:val="00B41650"/>
    <w:rsid w:val="00B766B5"/>
    <w:rsid w:val="00CB5B8E"/>
    <w:rsid w:val="00D21AB3"/>
    <w:rsid w:val="00ED730B"/>
    <w:rsid w:val="00EE5625"/>
    <w:rsid w:val="00F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0242"/>
  <w15:chartTrackingRefBased/>
  <w15:docId w15:val="{AE1FDA96-C365-4DAA-853C-C8F7F612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27D"/>
    <w:pPr>
      <w:spacing w:line="259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1650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65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6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650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650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6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650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650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65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B4165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4165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650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650"/>
    <w:rPr>
      <w:rFonts w:asciiTheme="majorHAnsi" w:eastAsiaTheme="majorEastAsia" w:hAnsiTheme="majorHAnsi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650"/>
    <w:pPr>
      <w:spacing w:line="252" w:lineRule="auto"/>
      <w:ind w:left="720"/>
      <w:contextualSpacing/>
      <w:jc w:val="both"/>
    </w:pPr>
  </w:style>
  <w:style w:type="paragraph" w:styleId="Cytat">
    <w:name w:val="Quote"/>
    <w:basedOn w:val="Normalny"/>
    <w:next w:val="Normalny"/>
    <w:link w:val="CytatZnak"/>
    <w:uiPriority w:val="29"/>
    <w:qFormat/>
    <w:rsid w:val="00B41650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650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650"/>
    <w:rPr>
      <w:rFonts w:asciiTheme="majorHAnsi" w:eastAsiaTheme="majorEastAsia" w:hAnsiTheme="majorHAnsi" w:cstheme="majorBidi"/>
      <w:sz w:val="26"/>
      <w:szCs w:val="26"/>
    </w:rPr>
  </w:style>
  <w:style w:type="character" w:styleId="Wyrnienieintensywne">
    <w:name w:val="Intense Emphasis"/>
    <w:basedOn w:val="Domylnaczcionkaakapitu"/>
    <w:uiPriority w:val="21"/>
    <w:qFormat/>
    <w:rsid w:val="00B41650"/>
    <w:rPr>
      <w:b/>
      <w:bCs/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B41650"/>
    <w:rPr>
      <w:b/>
      <w:bCs/>
      <w:smallCaps/>
      <w:color w:val="auto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41650"/>
    <w:pPr>
      <w:spacing w:line="252" w:lineRule="auto"/>
      <w:jc w:val="both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41650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B41650"/>
    <w:rPr>
      <w:i/>
      <w:iCs/>
      <w:color w:val="auto"/>
    </w:rPr>
  </w:style>
  <w:style w:type="paragraph" w:styleId="Bezodstpw">
    <w:name w:val="No Spacing"/>
    <w:uiPriority w:val="1"/>
    <w:qFormat/>
    <w:rsid w:val="00B4165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B41650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41650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B41650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65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D6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F44"/>
  </w:style>
  <w:style w:type="paragraph" w:styleId="Stopka">
    <w:name w:val="footer"/>
    <w:basedOn w:val="Normalny"/>
    <w:link w:val="StopkaZnak"/>
    <w:uiPriority w:val="99"/>
    <w:unhideWhenUsed/>
    <w:rsid w:val="009D6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venir Next LT Pro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Zamoyskich w Kozłówce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Staszek</dc:creator>
  <cp:keywords/>
  <dc:description/>
  <cp:lastModifiedBy>Agnieszka Staszek</cp:lastModifiedBy>
  <cp:revision>3</cp:revision>
  <dcterms:created xsi:type="dcterms:W3CDTF">2026-08-05T09:24:00Z</dcterms:created>
  <dcterms:modified xsi:type="dcterms:W3CDTF">2026-08-05T09:24:00Z</dcterms:modified>
</cp:coreProperties>
</file>